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EEA63C" w14:textId="1F506BF8" w:rsidR="00EC7646" w:rsidRPr="00EC7646" w:rsidRDefault="00EC7646" w:rsidP="000A21DC">
      <w:pPr>
        <w:jc w:val="both"/>
        <w:rPr>
          <w:rFonts w:cstheme="minorHAnsi"/>
          <w:b/>
          <w:bCs/>
          <w:color w:val="FFFFFF" w:themeColor="background1"/>
          <w:sz w:val="36"/>
          <w:szCs w:val="36"/>
          <w:highlight w:val="black"/>
        </w:rPr>
      </w:pPr>
      <w:r w:rsidRPr="00EC7646">
        <w:rPr>
          <w:rFonts w:eastAsia="Times New Roman"/>
          <w:b/>
          <w:bCs/>
          <w:sz w:val="32"/>
          <w:szCs w:val="32"/>
          <w:lang w:val="es-MX"/>
        </w:rPr>
        <w:t>Resultados de la gestión, periodo 2018-2021</w:t>
      </w:r>
    </w:p>
    <w:p w14:paraId="6A0C3F74" w14:textId="77777777" w:rsidR="00A57E0B" w:rsidRPr="00E805C2" w:rsidRDefault="00A57E0B" w:rsidP="000A21DC">
      <w:pPr>
        <w:jc w:val="both"/>
        <w:rPr>
          <w:rFonts w:cstheme="minorHAnsi"/>
          <w:b/>
          <w:bCs/>
          <w:sz w:val="24"/>
          <w:szCs w:val="24"/>
        </w:rPr>
      </w:pPr>
      <w:r w:rsidRPr="00E805C2">
        <w:rPr>
          <w:rFonts w:cstheme="minorHAnsi"/>
          <w:b/>
          <w:bCs/>
          <w:sz w:val="24"/>
          <w:szCs w:val="24"/>
        </w:rPr>
        <w:t>Plan de Expansión de la Transmisión</w:t>
      </w:r>
    </w:p>
    <w:p w14:paraId="72EB300F" w14:textId="60B7A0C9" w:rsidR="00A57E0B" w:rsidRPr="008D3740" w:rsidRDefault="00A57E0B" w:rsidP="000A21DC">
      <w:pPr>
        <w:jc w:val="both"/>
        <w:rPr>
          <w:rFonts w:cstheme="minorHAnsi"/>
          <w:color w:val="000000"/>
          <w:sz w:val="23"/>
          <w:szCs w:val="23"/>
        </w:rPr>
      </w:pPr>
      <w:r w:rsidRPr="00EC7646">
        <w:rPr>
          <w:rFonts w:cstheme="minorHAnsi"/>
          <w:color w:val="000000"/>
          <w:sz w:val="23"/>
          <w:szCs w:val="23"/>
        </w:rPr>
        <w:t xml:space="preserve">Durante el período comprendido entre los años 2018 y 2021 </w:t>
      </w:r>
      <w:r>
        <w:rPr>
          <w:rFonts w:cstheme="minorHAnsi"/>
          <w:color w:val="000000"/>
          <w:sz w:val="23"/>
          <w:szCs w:val="23"/>
        </w:rPr>
        <w:t xml:space="preserve">la </w:t>
      </w:r>
      <w:r w:rsidR="00266424">
        <w:rPr>
          <w:rFonts w:cstheme="minorHAnsi"/>
          <w:color w:val="000000"/>
          <w:sz w:val="23"/>
          <w:szCs w:val="23"/>
        </w:rPr>
        <w:t xml:space="preserve">Comisión Nacional de Energía </w:t>
      </w:r>
      <w:r>
        <w:rPr>
          <w:rFonts w:cstheme="minorHAnsi"/>
          <w:color w:val="000000"/>
          <w:sz w:val="23"/>
          <w:szCs w:val="23"/>
        </w:rPr>
        <w:t>(en adelante CNE) ha</w:t>
      </w:r>
      <w:r w:rsidRPr="00EC7646">
        <w:rPr>
          <w:rFonts w:cstheme="minorHAnsi"/>
          <w:color w:val="000000"/>
          <w:sz w:val="23"/>
          <w:szCs w:val="23"/>
        </w:rPr>
        <w:t xml:space="preserve"> publicado los siguientes planes de expansión de la transmisión:</w:t>
      </w:r>
    </w:p>
    <w:tbl>
      <w:tblPr>
        <w:tblStyle w:val="Tablaconcuadrcula"/>
        <w:tblW w:w="0" w:type="auto"/>
        <w:tblLook w:val="04A0" w:firstRow="1" w:lastRow="0" w:firstColumn="1" w:lastColumn="0" w:noHBand="0" w:noVBand="1"/>
      </w:tblPr>
      <w:tblGrid>
        <w:gridCol w:w="1261"/>
        <w:gridCol w:w="1261"/>
        <w:gridCol w:w="1261"/>
        <w:gridCol w:w="1261"/>
        <w:gridCol w:w="1261"/>
        <w:gridCol w:w="1261"/>
        <w:gridCol w:w="1262"/>
      </w:tblGrid>
      <w:tr w:rsidR="00A57E0B" w14:paraId="370E2E74" w14:textId="77777777" w:rsidTr="004E0786">
        <w:tc>
          <w:tcPr>
            <w:tcW w:w="1261" w:type="dxa"/>
            <w:vAlign w:val="center"/>
          </w:tcPr>
          <w:p w14:paraId="439FB75F" w14:textId="77777777" w:rsidR="00A57E0B" w:rsidRPr="008D3740" w:rsidRDefault="00A57E0B" w:rsidP="001D7A5C">
            <w:pPr>
              <w:jc w:val="center"/>
              <w:rPr>
                <w:rFonts w:cstheme="minorHAnsi"/>
                <w:b/>
                <w:bCs/>
                <w:color w:val="000000"/>
                <w:sz w:val="23"/>
                <w:szCs w:val="23"/>
              </w:rPr>
            </w:pPr>
            <w:r w:rsidRPr="008D3740">
              <w:rPr>
                <w:rFonts w:cstheme="minorHAnsi"/>
                <w:b/>
                <w:bCs/>
                <w:color w:val="000000"/>
                <w:sz w:val="23"/>
                <w:szCs w:val="23"/>
              </w:rPr>
              <w:t>Año</w:t>
            </w:r>
          </w:p>
        </w:tc>
        <w:tc>
          <w:tcPr>
            <w:tcW w:w="3783" w:type="dxa"/>
            <w:gridSpan w:val="3"/>
            <w:vAlign w:val="center"/>
          </w:tcPr>
          <w:p w14:paraId="614A7E2B" w14:textId="77777777" w:rsidR="00A57E0B" w:rsidRPr="008D3740" w:rsidRDefault="00A57E0B" w:rsidP="001D7A5C">
            <w:pPr>
              <w:jc w:val="center"/>
              <w:rPr>
                <w:rFonts w:cstheme="minorHAnsi"/>
                <w:b/>
                <w:bCs/>
                <w:color w:val="000000"/>
                <w:sz w:val="23"/>
                <w:szCs w:val="23"/>
              </w:rPr>
            </w:pPr>
            <w:proofErr w:type="spellStart"/>
            <w:r w:rsidRPr="008D3740">
              <w:rPr>
                <w:rFonts w:cstheme="minorHAnsi"/>
                <w:b/>
                <w:bCs/>
                <w:color w:val="000000"/>
                <w:sz w:val="23"/>
                <w:szCs w:val="23"/>
              </w:rPr>
              <w:t>N°</w:t>
            </w:r>
            <w:proofErr w:type="spellEnd"/>
            <w:r w:rsidRPr="008D3740">
              <w:rPr>
                <w:rFonts w:cstheme="minorHAnsi"/>
                <w:b/>
                <w:bCs/>
                <w:color w:val="000000"/>
                <w:sz w:val="23"/>
                <w:szCs w:val="23"/>
              </w:rPr>
              <w:t xml:space="preserve"> de Obras de Expansión</w:t>
            </w:r>
          </w:p>
        </w:tc>
        <w:tc>
          <w:tcPr>
            <w:tcW w:w="3784" w:type="dxa"/>
            <w:gridSpan w:val="3"/>
            <w:vAlign w:val="center"/>
          </w:tcPr>
          <w:p w14:paraId="01D71C7B" w14:textId="77777777" w:rsidR="00A57E0B" w:rsidRPr="008D3740" w:rsidRDefault="00A57E0B" w:rsidP="001D7A5C">
            <w:pPr>
              <w:jc w:val="center"/>
              <w:rPr>
                <w:rFonts w:cstheme="minorHAnsi"/>
                <w:b/>
                <w:bCs/>
                <w:color w:val="000000"/>
                <w:sz w:val="23"/>
                <w:szCs w:val="23"/>
              </w:rPr>
            </w:pPr>
            <w:r w:rsidRPr="008D3740">
              <w:rPr>
                <w:rFonts w:cstheme="minorHAnsi"/>
                <w:b/>
                <w:bCs/>
                <w:color w:val="000000"/>
                <w:sz w:val="23"/>
                <w:szCs w:val="23"/>
              </w:rPr>
              <w:t>Inversión aproximada</w:t>
            </w:r>
          </w:p>
          <w:p w14:paraId="346C3A87" w14:textId="6ECC0799" w:rsidR="00A57E0B" w:rsidRPr="008D3740" w:rsidRDefault="00A57E0B" w:rsidP="001D7A5C">
            <w:pPr>
              <w:jc w:val="center"/>
              <w:rPr>
                <w:rFonts w:cstheme="minorHAnsi"/>
                <w:b/>
                <w:bCs/>
                <w:color w:val="000000"/>
                <w:sz w:val="23"/>
                <w:szCs w:val="23"/>
              </w:rPr>
            </w:pPr>
            <w:r w:rsidRPr="008D3740">
              <w:rPr>
                <w:rFonts w:cstheme="minorHAnsi"/>
                <w:b/>
                <w:bCs/>
                <w:color w:val="000000"/>
                <w:sz w:val="23"/>
                <w:szCs w:val="23"/>
              </w:rPr>
              <w:t>(USD Millones)</w:t>
            </w:r>
          </w:p>
        </w:tc>
      </w:tr>
      <w:tr w:rsidR="00A57E0B" w14:paraId="01C4F189" w14:textId="77777777" w:rsidTr="004E0786">
        <w:tc>
          <w:tcPr>
            <w:tcW w:w="1261" w:type="dxa"/>
          </w:tcPr>
          <w:p w14:paraId="3618E7B7" w14:textId="77777777" w:rsidR="00A57E0B" w:rsidRDefault="00A57E0B" w:rsidP="000A21DC">
            <w:pPr>
              <w:jc w:val="both"/>
              <w:rPr>
                <w:rFonts w:cstheme="minorHAnsi"/>
                <w:color w:val="000000"/>
                <w:sz w:val="23"/>
                <w:szCs w:val="23"/>
              </w:rPr>
            </w:pPr>
          </w:p>
        </w:tc>
        <w:tc>
          <w:tcPr>
            <w:tcW w:w="1261" w:type="dxa"/>
          </w:tcPr>
          <w:p w14:paraId="747E2D92" w14:textId="77777777" w:rsidR="00A57E0B" w:rsidRPr="00E21307" w:rsidRDefault="00A57E0B" w:rsidP="000A21DC">
            <w:pPr>
              <w:jc w:val="both"/>
              <w:rPr>
                <w:rFonts w:cstheme="minorHAnsi"/>
                <w:b/>
                <w:bCs/>
                <w:color w:val="000000"/>
                <w:sz w:val="23"/>
                <w:szCs w:val="23"/>
              </w:rPr>
            </w:pPr>
            <w:r w:rsidRPr="00E21307">
              <w:rPr>
                <w:rFonts w:cstheme="minorHAnsi"/>
                <w:b/>
                <w:bCs/>
                <w:color w:val="000000"/>
                <w:sz w:val="23"/>
                <w:szCs w:val="23"/>
              </w:rPr>
              <w:t>Total</w:t>
            </w:r>
          </w:p>
        </w:tc>
        <w:tc>
          <w:tcPr>
            <w:tcW w:w="1261" w:type="dxa"/>
          </w:tcPr>
          <w:p w14:paraId="27A72EEE" w14:textId="77777777" w:rsidR="00A57E0B" w:rsidRPr="00E21307" w:rsidRDefault="00A57E0B" w:rsidP="000A21DC">
            <w:pPr>
              <w:jc w:val="both"/>
              <w:rPr>
                <w:rFonts w:cstheme="minorHAnsi"/>
                <w:b/>
                <w:bCs/>
                <w:color w:val="000000"/>
                <w:sz w:val="23"/>
                <w:szCs w:val="23"/>
              </w:rPr>
            </w:pPr>
            <w:r w:rsidRPr="00E21307">
              <w:rPr>
                <w:rFonts w:cstheme="minorHAnsi"/>
                <w:b/>
                <w:bCs/>
                <w:color w:val="000000"/>
                <w:sz w:val="23"/>
                <w:szCs w:val="23"/>
              </w:rPr>
              <w:t>Nacional</w:t>
            </w:r>
          </w:p>
        </w:tc>
        <w:tc>
          <w:tcPr>
            <w:tcW w:w="1261" w:type="dxa"/>
          </w:tcPr>
          <w:p w14:paraId="53C021B9" w14:textId="77777777" w:rsidR="00A57E0B" w:rsidRPr="00E21307" w:rsidRDefault="00A57E0B" w:rsidP="000A21DC">
            <w:pPr>
              <w:jc w:val="both"/>
              <w:rPr>
                <w:rFonts w:cstheme="minorHAnsi"/>
                <w:b/>
                <w:bCs/>
                <w:color w:val="000000"/>
                <w:sz w:val="23"/>
                <w:szCs w:val="23"/>
              </w:rPr>
            </w:pPr>
            <w:r w:rsidRPr="00E21307">
              <w:rPr>
                <w:rFonts w:cstheme="minorHAnsi"/>
                <w:b/>
                <w:bCs/>
                <w:color w:val="000000"/>
                <w:sz w:val="23"/>
                <w:szCs w:val="23"/>
              </w:rPr>
              <w:t>Zonal</w:t>
            </w:r>
          </w:p>
        </w:tc>
        <w:tc>
          <w:tcPr>
            <w:tcW w:w="1261" w:type="dxa"/>
          </w:tcPr>
          <w:p w14:paraId="0CDA9811" w14:textId="77777777" w:rsidR="00A57E0B" w:rsidRPr="00E21307" w:rsidRDefault="00A57E0B" w:rsidP="000A21DC">
            <w:pPr>
              <w:jc w:val="both"/>
              <w:rPr>
                <w:rFonts w:cstheme="minorHAnsi"/>
                <w:b/>
                <w:bCs/>
                <w:color w:val="000000"/>
                <w:sz w:val="23"/>
                <w:szCs w:val="23"/>
              </w:rPr>
            </w:pPr>
            <w:r w:rsidRPr="00E21307">
              <w:rPr>
                <w:rFonts w:cstheme="minorHAnsi"/>
                <w:b/>
                <w:bCs/>
                <w:color w:val="000000"/>
                <w:sz w:val="23"/>
                <w:szCs w:val="23"/>
              </w:rPr>
              <w:t xml:space="preserve">Total </w:t>
            </w:r>
          </w:p>
        </w:tc>
        <w:tc>
          <w:tcPr>
            <w:tcW w:w="1261" w:type="dxa"/>
          </w:tcPr>
          <w:p w14:paraId="39088032" w14:textId="77777777" w:rsidR="00A57E0B" w:rsidRPr="00E21307" w:rsidRDefault="00A57E0B" w:rsidP="000A21DC">
            <w:pPr>
              <w:jc w:val="both"/>
              <w:rPr>
                <w:rFonts w:cstheme="minorHAnsi"/>
                <w:b/>
                <w:bCs/>
                <w:color w:val="000000"/>
                <w:sz w:val="23"/>
                <w:szCs w:val="23"/>
              </w:rPr>
            </w:pPr>
            <w:r w:rsidRPr="00E21307">
              <w:rPr>
                <w:rFonts w:cstheme="minorHAnsi"/>
                <w:b/>
                <w:bCs/>
                <w:color w:val="000000"/>
                <w:sz w:val="23"/>
                <w:szCs w:val="23"/>
              </w:rPr>
              <w:t>Nacional</w:t>
            </w:r>
          </w:p>
        </w:tc>
        <w:tc>
          <w:tcPr>
            <w:tcW w:w="1262" w:type="dxa"/>
          </w:tcPr>
          <w:p w14:paraId="162AC499" w14:textId="77777777" w:rsidR="00A57E0B" w:rsidRPr="00E21307" w:rsidRDefault="00A57E0B" w:rsidP="000A21DC">
            <w:pPr>
              <w:jc w:val="both"/>
              <w:rPr>
                <w:rFonts w:cstheme="minorHAnsi"/>
                <w:b/>
                <w:bCs/>
                <w:color w:val="000000"/>
                <w:sz w:val="23"/>
                <w:szCs w:val="23"/>
              </w:rPr>
            </w:pPr>
            <w:r w:rsidRPr="00E21307">
              <w:rPr>
                <w:rFonts w:cstheme="minorHAnsi"/>
                <w:b/>
                <w:bCs/>
                <w:color w:val="000000"/>
                <w:sz w:val="23"/>
                <w:szCs w:val="23"/>
              </w:rPr>
              <w:t>Zonal</w:t>
            </w:r>
          </w:p>
        </w:tc>
      </w:tr>
      <w:tr w:rsidR="00A57E0B" w14:paraId="04F899AF" w14:textId="77777777" w:rsidTr="004E0786">
        <w:tc>
          <w:tcPr>
            <w:tcW w:w="1261" w:type="dxa"/>
          </w:tcPr>
          <w:p w14:paraId="7B72C0F9" w14:textId="77777777" w:rsidR="00A57E0B" w:rsidRDefault="00A57E0B" w:rsidP="000A21DC">
            <w:pPr>
              <w:jc w:val="both"/>
              <w:rPr>
                <w:rFonts w:cstheme="minorHAnsi"/>
                <w:color w:val="000000"/>
                <w:sz w:val="23"/>
                <w:szCs w:val="23"/>
              </w:rPr>
            </w:pPr>
            <w:r>
              <w:rPr>
                <w:rFonts w:cstheme="minorHAnsi"/>
                <w:color w:val="000000"/>
                <w:sz w:val="23"/>
                <w:szCs w:val="23"/>
              </w:rPr>
              <w:t>2018</w:t>
            </w:r>
          </w:p>
        </w:tc>
        <w:tc>
          <w:tcPr>
            <w:tcW w:w="1261" w:type="dxa"/>
          </w:tcPr>
          <w:p w14:paraId="7C62171A" w14:textId="77777777" w:rsidR="00A57E0B" w:rsidRDefault="00A57E0B" w:rsidP="0086245D">
            <w:pPr>
              <w:jc w:val="center"/>
              <w:rPr>
                <w:rFonts w:cstheme="minorHAnsi"/>
                <w:color w:val="000000"/>
                <w:sz w:val="23"/>
                <w:szCs w:val="23"/>
              </w:rPr>
            </w:pPr>
            <w:r>
              <w:rPr>
                <w:rFonts w:cstheme="minorHAnsi"/>
                <w:color w:val="000000"/>
                <w:sz w:val="23"/>
                <w:szCs w:val="23"/>
              </w:rPr>
              <w:t>67</w:t>
            </w:r>
          </w:p>
        </w:tc>
        <w:tc>
          <w:tcPr>
            <w:tcW w:w="1261" w:type="dxa"/>
          </w:tcPr>
          <w:p w14:paraId="5A1D40F2" w14:textId="77777777" w:rsidR="00A57E0B" w:rsidRDefault="00A57E0B" w:rsidP="0086245D">
            <w:pPr>
              <w:jc w:val="center"/>
              <w:rPr>
                <w:rFonts w:cstheme="minorHAnsi"/>
                <w:color w:val="000000"/>
                <w:sz w:val="23"/>
                <w:szCs w:val="23"/>
              </w:rPr>
            </w:pPr>
            <w:r>
              <w:rPr>
                <w:rFonts w:cstheme="minorHAnsi"/>
                <w:color w:val="000000"/>
                <w:sz w:val="23"/>
                <w:szCs w:val="23"/>
              </w:rPr>
              <w:t>13</w:t>
            </w:r>
          </w:p>
        </w:tc>
        <w:tc>
          <w:tcPr>
            <w:tcW w:w="1261" w:type="dxa"/>
          </w:tcPr>
          <w:p w14:paraId="2F517189" w14:textId="77777777" w:rsidR="00A57E0B" w:rsidRDefault="00A57E0B" w:rsidP="0086245D">
            <w:pPr>
              <w:jc w:val="center"/>
              <w:rPr>
                <w:rFonts w:cstheme="minorHAnsi"/>
                <w:color w:val="000000"/>
                <w:sz w:val="23"/>
                <w:szCs w:val="23"/>
              </w:rPr>
            </w:pPr>
            <w:r>
              <w:rPr>
                <w:rFonts w:cstheme="minorHAnsi"/>
                <w:color w:val="000000"/>
                <w:sz w:val="23"/>
                <w:szCs w:val="23"/>
              </w:rPr>
              <w:t>54</w:t>
            </w:r>
          </w:p>
        </w:tc>
        <w:tc>
          <w:tcPr>
            <w:tcW w:w="1261" w:type="dxa"/>
          </w:tcPr>
          <w:p w14:paraId="627D64A4" w14:textId="77777777" w:rsidR="00A57E0B" w:rsidRDefault="00A57E0B" w:rsidP="0086245D">
            <w:pPr>
              <w:jc w:val="center"/>
              <w:rPr>
                <w:rFonts w:cstheme="minorHAnsi"/>
                <w:color w:val="000000"/>
                <w:sz w:val="23"/>
                <w:szCs w:val="23"/>
              </w:rPr>
            </w:pPr>
            <w:r>
              <w:rPr>
                <w:rFonts w:cstheme="minorHAnsi"/>
                <w:color w:val="000000"/>
                <w:sz w:val="23"/>
                <w:szCs w:val="23"/>
              </w:rPr>
              <w:t>1.456</w:t>
            </w:r>
          </w:p>
        </w:tc>
        <w:tc>
          <w:tcPr>
            <w:tcW w:w="1261" w:type="dxa"/>
          </w:tcPr>
          <w:p w14:paraId="7F8AD98A" w14:textId="77777777" w:rsidR="00A57E0B" w:rsidRDefault="00A57E0B" w:rsidP="0086245D">
            <w:pPr>
              <w:jc w:val="center"/>
              <w:rPr>
                <w:rFonts w:cstheme="minorHAnsi"/>
                <w:color w:val="000000"/>
                <w:sz w:val="23"/>
                <w:szCs w:val="23"/>
              </w:rPr>
            </w:pPr>
            <w:r>
              <w:rPr>
                <w:rFonts w:cstheme="minorHAnsi"/>
                <w:color w:val="000000"/>
                <w:sz w:val="23"/>
                <w:szCs w:val="23"/>
              </w:rPr>
              <w:t>1.264</w:t>
            </w:r>
          </w:p>
        </w:tc>
        <w:tc>
          <w:tcPr>
            <w:tcW w:w="1262" w:type="dxa"/>
          </w:tcPr>
          <w:p w14:paraId="0CC88DE7" w14:textId="77777777" w:rsidR="00A57E0B" w:rsidRDefault="00A57E0B" w:rsidP="0086245D">
            <w:pPr>
              <w:jc w:val="center"/>
              <w:rPr>
                <w:rFonts w:cstheme="minorHAnsi"/>
                <w:color w:val="000000"/>
                <w:sz w:val="23"/>
                <w:szCs w:val="23"/>
              </w:rPr>
            </w:pPr>
            <w:r>
              <w:rPr>
                <w:rFonts w:cstheme="minorHAnsi"/>
                <w:color w:val="000000"/>
                <w:sz w:val="23"/>
                <w:szCs w:val="23"/>
              </w:rPr>
              <w:t>192</w:t>
            </w:r>
          </w:p>
        </w:tc>
      </w:tr>
      <w:tr w:rsidR="00A57E0B" w14:paraId="61CFF87B" w14:textId="77777777" w:rsidTr="004E0786">
        <w:tc>
          <w:tcPr>
            <w:tcW w:w="1261" w:type="dxa"/>
          </w:tcPr>
          <w:p w14:paraId="502C7BFB" w14:textId="77777777" w:rsidR="00A57E0B" w:rsidRDefault="00A57E0B" w:rsidP="000A21DC">
            <w:pPr>
              <w:jc w:val="both"/>
              <w:rPr>
                <w:rFonts w:cstheme="minorHAnsi"/>
                <w:color w:val="000000"/>
                <w:sz w:val="23"/>
                <w:szCs w:val="23"/>
              </w:rPr>
            </w:pPr>
            <w:r>
              <w:rPr>
                <w:rFonts w:cstheme="minorHAnsi"/>
                <w:color w:val="000000"/>
                <w:sz w:val="23"/>
                <w:szCs w:val="23"/>
              </w:rPr>
              <w:t>2019</w:t>
            </w:r>
          </w:p>
        </w:tc>
        <w:tc>
          <w:tcPr>
            <w:tcW w:w="1261" w:type="dxa"/>
          </w:tcPr>
          <w:p w14:paraId="559D28DE" w14:textId="77777777" w:rsidR="00A57E0B" w:rsidRDefault="00A57E0B" w:rsidP="0086245D">
            <w:pPr>
              <w:jc w:val="center"/>
              <w:rPr>
                <w:rFonts w:cstheme="minorHAnsi"/>
                <w:color w:val="000000"/>
                <w:sz w:val="23"/>
                <w:szCs w:val="23"/>
              </w:rPr>
            </w:pPr>
            <w:r>
              <w:rPr>
                <w:rFonts w:cstheme="minorHAnsi"/>
                <w:color w:val="000000"/>
                <w:sz w:val="23"/>
                <w:szCs w:val="23"/>
              </w:rPr>
              <w:t>61</w:t>
            </w:r>
          </w:p>
        </w:tc>
        <w:tc>
          <w:tcPr>
            <w:tcW w:w="1261" w:type="dxa"/>
          </w:tcPr>
          <w:p w14:paraId="0935C0F1" w14:textId="77777777" w:rsidR="00A57E0B" w:rsidRDefault="00A57E0B" w:rsidP="0086245D">
            <w:pPr>
              <w:jc w:val="center"/>
              <w:rPr>
                <w:rFonts w:cstheme="minorHAnsi"/>
                <w:color w:val="000000"/>
                <w:sz w:val="23"/>
                <w:szCs w:val="23"/>
              </w:rPr>
            </w:pPr>
            <w:r>
              <w:rPr>
                <w:rFonts w:cstheme="minorHAnsi"/>
                <w:color w:val="000000"/>
                <w:sz w:val="23"/>
                <w:szCs w:val="23"/>
              </w:rPr>
              <w:t>17</w:t>
            </w:r>
          </w:p>
        </w:tc>
        <w:tc>
          <w:tcPr>
            <w:tcW w:w="1261" w:type="dxa"/>
          </w:tcPr>
          <w:p w14:paraId="6E378D6D" w14:textId="77777777" w:rsidR="00A57E0B" w:rsidRDefault="00A57E0B" w:rsidP="0086245D">
            <w:pPr>
              <w:jc w:val="center"/>
              <w:rPr>
                <w:rFonts w:cstheme="minorHAnsi"/>
                <w:color w:val="000000"/>
                <w:sz w:val="23"/>
                <w:szCs w:val="23"/>
              </w:rPr>
            </w:pPr>
            <w:r>
              <w:rPr>
                <w:rFonts w:cstheme="minorHAnsi"/>
                <w:color w:val="000000"/>
                <w:sz w:val="23"/>
                <w:szCs w:val="23"/>
              </w:rPr>
              <w:t>44</w:t>
            </w:r>
          </w:p>
        </w:tc>
        <w:tc>
          <w:tcPr>
            <w:tcW w:w="1261" w:type="dxa"/>
          </w:tcPr>
          <w:p w14:paraId="6439916C" w14:textId="77777777" w:rsidR="00A57E0B" w:rsidRDefault="00A57E0B" w:rsidP="0086245D">
            <w:pPr>
              <w:jc w:val="center"/>
              <w:rPr>
                <w:rFonts w:cstheme="minorHAnsi"/>
                <w:color w:val="000000"/>
                <w:sz w:val="23"/>
                <w:szCs w:val="23"/>
              </w:rPr>
            </w:pPr>
            <w:r>
              <w:rPr>
                <w:rFonts w:cstheme="minorHAnsi"/>
                <w:color w:val="000000"/>
                <w:sz w:val="23"/>
                <w:szCs w:val="23"/>
              </w:rPr>
              <w:t>379</w:t>
            </w:r>
          </w:p>
        </w:tc>
        <w:tc>
          <w:tcPr>
            <w:tcW w:w="1261" w:type="dxa"/>
          </w:tcPr>
          <w:p w14:paraId="0F8CBBC5" w14:textId="77777777" w:rsidR="00A57E0B" w:rsidRDefault="00A57E0B" w:rsidP="0086245D">
            <w:pPr>
              <w:jc w:val="center"/>
              <w:rPr>
                <w:rFonts w:cstheme="minorHAnsi"/>
                <w:color w:val="000000"/>
                <w:sz w:val="23"/>
                <w:szCs w:val="23"/>
              </w:rPr>
            </w:pPr>
            <w:r>
              <w:rPr>
                <w:rFonts w:cstheme="minorHAnsi"/>
                <w:color w:val="000000"/>
                <w:sz w:val="23"/>
                <w:szCs w:val="23"/>
              </w:rPr>
              <w:t>132</w:t>
            </w:r>
          </w:p>
        </w:tc>
        <w:tc>
          <w:tcPr>
            <w:tcW w:w="1262" w:type="dxa"/>
          </w:tcPr>
          <w:p w14:paraId="250C3EBF" w14:textId="77777777" w:rsidR="00A57E0B" w:rsidRDefault="00A57E0B" w:rsidP="0086245D">
            <w:pPr>
              <w:jc w:val="center"/>
              <w:rPr>
                <w:rFonts w:cstheme="minorHAnsi"/>
                <w:color w:val="000000"/>
                <w:sz w:val="23"/>
                <w:szCs w:val="23"/>
              </w:rPr>
            </w:pPr>
            <w:r>
              <w:rPr>
                <w:rFonts w:cstheme="minorHAnsi"/>
                <w:color w:val="000000"/>
                <w:sz w:val="23"/>
                <w:szCs w:val="23"/>
              </w:rPr>
              <w:t>247</w:t>
            </w:r>
          </w:p>
        </w:tc>
      </w:tr>
      <w:tr w:rsidR="00A57E0B" w14:paraId="1B3A6BB2" w14:textId="77777777" w:rsidTr="004E0786">
        <w:tc>
          <w:tcPr>
            <w:tcW w:w="1261" w:type="dxa"/>
          </w:tcPr>
          <w:p w14:paraId="027C7163" w14:textId="77777777" w:rsidR="00A57E0B" w:rsidRDefault="00A57E0B" w:rsidP="000A21DC">
            <w:pPr>
              <w:jc w:val="both"/>
              <w:rPr>
                <w:rFonts w:cstheme="minorHAnsi"/>
                <w:color w:val="000000"/>
                <w:sz w:val="23"/>
                <w:szCs w:val="23"/>
              </w:rPr>
            </w:pPr>
            <w:r>
              <w:rPr>
                <w:rFonts w:cstheme="minorHAnsi"/>
                <w:color w:val="000000"/>
                <w:sz w:val="23"/>
                <w:szCs w:val="23"/>
              </w:rPr>
              <w:t>2020</w:t>
            </w:r>
          </w:p>
        </w:tc>
        <w:tc>
          <w:tcPr>
            <w:tcW w:w="1261" w:type="dxa"/>
          </w:tcPr>
          <w:p w14:paraId="7B168940" w14:textId="77777777" w:rsidR="00A57E0B" w:rsidRDefault="00A57E0B" w:rsidP="0086245D">
            <w:pPr>
              <w:jc w:val="center"/>
              <w:rPr>
                <w:rFonts w:cstheme="minorHAnsi"/>
                <w:color w:val="000000"/>
                <w:sz w:val="23"/>
                <w:szCs w:val="23"/>
              </w:rPr>
            </w:pPr>
            <w:r>
              <w:rPr>
                <w:rFonts w:cstheme="minorHAnsi"/>
                <w:color w:val="000000"/>
                <w:sz w:val="23"/>
                <w:szCs w:val="23"/>
              </w:rPr>
              <w:t>47</w:t>
            </w:r>
          </w:p>
        </w:tc>
        <w:tc>
          <w:tcPr>
            <w:tcW w:w="1261" w:type="dxa"/>
          </w:tcPr>
          <w:p w14:paraId="2A9C557D" w14:textId="77777777" w:rsidR="00A57E0B" w:rsidRDefault="00A57E0B" w:rsidP="0086245D">
            <w:pPr>
              <w:jc w:val="center"/>
              <w:rPr>
                <w:rFonts w:cstheme="minorHAnsi"/>
                <w:color w:val="000000"/>
                <w:sz w:val="23"/>
                <w:szCs w:val="23"/>
              </w:rPr>
            </w:pPr>
            <w:r>
              <w:rPr>
                <w:rFonts w:cstheme="minorHAnsi"/>
                <w:color w:val="000000"/>
                <w:sz w:val="23"/>
                <w:szCs w:val="23"/>
              </w:rPr>
              <w:t>14</w:t>
            </w:r>
          </w:p>
        </w:tc>
        <w:tc>
          <w:tcPr>
            <w:tcW w:w="1261" w:type="dxa"/>
          </w:tcPr>
          <w:p w14:paraId="4A8862EB" w14:textId="77777777" w:rsidR="00A57E0B" w:rsidRDefault="00A57E0B" w:rsidP="0086245D">
            <w:pPr>
              <w:jc w:val="center"/>
              <w:rPr>
                <w:rFonts w:cstheme="minorHAnsi"/>
                <w:color w:val="000000"/>
                <w:sz w:val="23"/>
                <w:szCs w:val="23"/>
              </w:rPr>
            </w:pPr>
            <w:r>
              <w:rPr>
                <w:rFonts w:cstheme="minorHAnsi"/>
                <w:color w:val="000000"/>
                <w:sz w:val="23"/>
                <w:szCs w:val="23"/>
              </w:rPr>
              <w:t>33</w:t>
            </w:r>
          </w:p>
        </w:tc>
        <w:tc>
          <w:tcPr>
            <w:tcW w:w="1261" w:type="dxa"/>
          </w:tcPr>
          <w:p w14:paraId="6D47A849" w14:textId="77777777" w:rsidR="00A57E0B" w:rsidRDefault="00A57E0B" w:rsidP="0086245D">
            <w:pPr>
              <w:jc w:val="center"/>
              <w:rPr>
                <w:rFonts w:cstheme="minorHAnsi"/>
                <w:color w:val="000000"/>
                <w:sz w:val="23"/>
                <w:szCs w:val="23"/>
              </w:rPr>
            </w:pPr>
            <w:r>
              <w:rPr>
                <w:rFonts w:cstheme="minorHAnsi"/>
                <w:color w:val="000000"/>
                <w:sz w:val="23"/>
                <w:szCs w:val="23"/>
              </w:rPr>
              <w:t>494</w:t>
            </w:r>
          </w:p>
        </w:tc>
        <w:tc>
          <w:tcPr>
            <w:tcW w:w="1261" w:type="dxa"/>
          </w:tcPr>
          <w:p w14:paraId="710FED54" w14:textId="77777777" w:rsidR="00A57E0B" w:rsidRDefault="00A57E0B" w:rsidP="0086245D">
            <w:pPr>
              <w:jc w:val="center"/>
              <w:rPr>
                <w:rFonts w:cstheme="minorHAnsi"/>
                <w:color w:val="000000"/>
                <w:sz w:val="23"/>
                <w:szCs w:val="23"/>
              </w:rPr>
            </w:pPr>
            <w:r>
              <w:rPr>
                <w:rFonts w:cstheme="minorHAnsi"/>
                <w:color w:val="000000"/>
                <w:sz w:val="23"/>
                <w:szCs w:val="23"/>
              </w:rPr>
              <w:t>301</w:t>
            </w:r>
          </w:p>
        </w:tc>
        <w:tc>
          <w:tcPr>
            <w:tcW w:w="1262" w:type="dxa"/>
          </w:tcPr>
          <w:p w14:paraId="0B10B69D" w14:textId="77777777" w:rsidR="00A57E0B" w:rsidRDefault="00A57E0B" w:rsidP="0086245D">
            <w:pPr>
              <w:jc w:val="center"/>
              <w:rPr>
                <w:rFonts w:cstheme="minorHAnsi"/>
                <w:color w:val="000000"/>
                <w:sz w:val="23"/>
                <w:szCs w:val="23"/>
              </w:rPr>
            </w:pPr>
            <w:r>
              <w:rPr>
                <w:rFonts w:cstheme="minorHAnsi"/>
                <w:color w:val="000000"/>
                <w:sz w:val="23"/>
                <w:szCs w:val="23"/>
              </w:rPr>
              <w:t>193</w:t>
            </w:r>
          </w:p>
        </w:tc>
      </w:tr>
      <w:tr w:rsidR="00A57E0B" w14:paraId="47DBC30E" w14:textId="77777777" w:rsidTr="004E0786">
        <w:tc>
          <w:tcPr>
            <w:tcW w:w="1261" w:type="dxa"/>
          </w:tcPr>
          <w:p w14:paraId="2B424A28" w14:textId="77777777" w:rsidR="00A57E0B" w:rsidRDefault="00A57E0B" w:rsidP="000A21DC">
            <w:pPr>
              <w:jc w:val="both"/>
              <w:rPr>
                <w:rFonts w:cstheme="minorHAnsi"/>
                <w:color w:val="000000"/>
                <w:sz w:val="23"/>
                <w:szCs w:val="23"/>
              </w:rPr>
            </w:pPr>
            <w:r>
              <w:rPr>
                <w:rFonts w:cstheme="minorHAnsi"/>
                <w:color w:val="000000"/>
                <w:sz w:val="23"/>
                <w:szCs w:val="23"/>
              </w:rPr>
              <w:t>2021 (*)</w:t>
            </w:r>
          </w:p>
        </w:tc>
        <w:tc>
          <w:tcPr>
            <w:tcW w:w="1261" w:type="dxa"/>
          </w:tcPr>
          <w:p w14:paraId="2923A6BE" w14:textId="77777777" w:rsidR="00A57E0B" w:rsidRDefault="00A57E0B" w:rsidP="0086245D">
            <w:pPr>
              <w:jc w:val="center"/>
              <w:rPr>
                <w:rFonts w:cstheme="minorHAnsi"/>
                <w:color w:val="000000"/>
                <w:sz w:val="23"/>
                <w:szCs w:val="23"/>
              </w:rPr>
            </w:pPr>
            <w:r>
              <w:rPr>
                <w:rFonts w:cstheme="minorHAnsi"/>
                <w:color w:val="000000"/>
                <w:sz w:val="23"/>
                <w:szCs w:val="23"/>
              </w:rPr>
              <w:t>38</w:t>
            </w:r>
          </w:p>
        </w:tc>
        <w:tc>
          <w:tcPr>
            <w:tcW w:w="1261" w:type="dxa"/>
          </w:tcPr>
          <w:p w14:paraId="57C08211" w14:textId="77777777" w:rsidR="00A57E0B" w:rsidRDefault="00A57E0B" w:rsidP="0086245D">
            <w:pPr>
              <w:jc w:val="center"/>
              <w:rPr>
                <w:rFonts w:cstheme="minorHAnsi"/>
                <w:color w:val="000000"/>
                <w:sz w:val="23"/>
                <w:szCs w:val="23"/>
              </w:rPr>
            </w:pPr>
            <w:r>
              <w:rPr>
                <w:rFonts w:cstheme="minorHAnsi"/>
                <w:color w:val="000000"/>
                <w:sz w:val="23"/>
                <w:szCs w:val="23"/>
              </w:rPr>
              <w:t>10</w:t>
            </w:r>
          </w:p>
        </w:tc>
        <w:tc>
          <w:tcPr>
            <w:tcW w:w="1261" w:type="dxa"/>
          </w:tcPr>
          <w:p w14:paraId="0F4AA51D" w14:textId="77777777" w:rsidR="00A57E0B" w:rsidRDefault="00A57E0B" w:rsidP="0086245D">
            <w:pPr>
              <w:jc w:val="center"/>
              <w:rPr>
                <w:rFonts w:cstheme="minorHAnsi"/>
                <w:color w:val="000000"/>
                <w:sz w:val="23"/>
                <w:szCs w:val="23"/>
              </w:rPr>
            </w:pPr>
            <w:r>
              <w:rPr>
                <w:rFonts w:cstheme="minorHAnsi"/>
                <w:color w:val="000000"/>
                <w:sz w:val="23"/>
                <w:szCs w:val="23"/>
              </w:rPr>
              <w:t>28</w:t>
            </w:r>
          </w:p>
        </w:tc>
        <w:tc>
          <w:tcPr>
            <w:tcW w:w="1261" w:type="dxa"/>
          </w:tcPr>
          <w:p w14:paraId="3DAD0255" w14:textId="77777777" w:rsidR="00A57E0B" w:rsidRDefault="00A57E0B" w:rsidP="0086245D">
            <w:pPr>
              <w:jc w:val="center"/>
              <w:rPr>
                <w:rFonts w:cstheme="minorHAnsi"/>
                <w:color w:val="000000"/>
                <w:sz w:val="23"/>
                <w:szCs w:val="23"/>
              </w:rPr>
            </w:pPr>
            <w:r>
              <w:rPr>
                <w:rFonts w:cstheme="minorHAnsi"/>
                <w:color w:val="000000"/>
                <w:sz w:val="23"/>
                <w:szCs w:val="23"/>
              </w:rPr>
              <w:t>537</w:t>
            </w:r>
          </w:p>
        </w:tc>
        <w:tc>
          <w:tcPr>
            <w:tcW w:w="1261" w:type="dxa"/>
          </w:tcPr>
          <w:p w14:paraId="313F4495" w14:textId="77777777" w:rsidR="00A57E0B" w:rsidRDefault="00A57E0B" w:rsidP="0086245D">
            <w:pPr>
              <w:jc w:val="center"/>
              <w:rPr>
                <w:rFonts w:cstheme="minorHAnsi"/>
                <w:color w:val="000000"/>
                <w:sz w:val="23"/>
                <w:szCs w:val="23"/>
              </w:rPr>
            </w:pPr>
            <w:r>
              <w:rPr>
                <w:rFonts w:cstheme="minorHAnsi"/>
                <w:color w:val="000000"/>
                <w:sz w:val="23"/>
                <w:szCs w:val="23"/>
              </w:rPr>
              <w:t>305</w:t>
            </w:r>
          </w:p>
        </w:tc>
        <w:tc>
          <w:tcPr>
            <w:tcW w:w="1262" w:type="dxa"/>
          </w:tcPr>
          <w:p w14:paraId="6336C977" w14:textId="77777777" w:rsidR="00A57E0B" w:rsidRDefault="00A57E0B" w:rsidP="0086245D">
            <w:pPr>
              <w:jc w:val="center"/>
              <w:rPr>
                <w:rFonts w:cstheme="minorHAnsi"/>
                <w:color w:val="000000"/>
                <w:sz w:val="23"/>
                <w:szCs w:val="23"/>
              </w:rPr>
            </w:pPr>
            <w:r>
              <w:rPr>
                <w:rFonts w:cstheme="minorHAnsi"/>
                <w:color w:val="000000"/>
                <w:sz w:val="23"/>
                <w:szCs w:val="23"/>
              </w:rPr>
              <w:t>231</w:t>
            </w:r>
          </w:p>
        </w:tc>
      </w:tr>
    </w:tbl>
    <w:p w14:paraId="54D6CE58" w14:textId="77777777" w:rsidR="00A57E0B" w:rsidRPr="008D3740" w:rsidRDefault="00A57E0B" w:rsidP="000A21DC">
      <w:pPr>
        <w:jc w:val="both"/>
        <w:rPr>
          <w:rFonts w:cstheme="minorHAnsi"/>
          <w:color w:val="000000"/>
          <w:sz w:val="16"/>
          <w:szCs w:val="16"/>
        </w:rPr>
      </w:pPr>
      <w:r w:rsidRPr="008D3740">
        <w:rPr>
          <w:rFonts w:cstheme="minorHAnsi"/>
          <w:color w:val="000000"/>
          <w:sz w:val="16"/>
          <w:szCs w:val="16"/>
        </w:rPr>
        <w:t xml:space="preserve"> (*) Información correspondiente al Informe Técnico Preliminar emitido el 12 de enero de 2022.</w:t>
      </w:r>
    </w:p>
    <w:p w14:paraId="4FB6F323" w14:textId="77777777" w:rsidR="00A57E0B" w:rsidRPr="00EC7646" w:rsidRDefault="00A57E0B" w:rsidP="000A21DC">
      <w:pPr>
        <w:jc w:val="both"/>
        <w:rPr>
          <w:rFonts w:cstheme="minorHAnsi"/>
          <w:sz w:val="23"/>
          <w:szCs w:val="23"/>
        </w:rPr>
      </w:pPr>
      <w:r w:rsidRPr="00EC7646">
        <w:rPr>
          <w:rFonts w:cstheme="minorHAnsi"/>
          <w:sz w:val="23"/>
          <w:szCs w:val="23"/>
        </w:rPr>
        <w:t>Cabe señalar que</w:t>
      </w:r>
      <w:r>
        <w:rPr>
          <w:rFonts w:cstheme="minorHAnsi"/>
          <w:sz w:val="23"/>
          <w:szCs w:val="23"/>
        </w:rPr>
        <w:t xml:space="preserve"> d</w:t>
      </w:r>
      <w:r w:rsidRPr="00EC7646">
        <w:rPr>
          <w:rFonts w:cstheme="minorHAnsi"/>
          <w:sz w:val="23"/>
          <w:szCs w:val="23"/>
        </w:rPr>
        <w:t xml:space="preserve">esde el año 2020 se comenzó a aplicar un nuevo mecanismo para el desarrollo de los planes de obras de generación de la transmisión, </w:t>
      </w:r>
      <w:r w:rsidRPr="00EC7646">
        <w:rPr>
          <w:rFonts w:cstheme="minorHAnsi"/>
          <w:color w:val="000000"/>
          <w:sz w:val="23"/>
          <w:szCs w:val="23"/>
        </w:rPr>
        <w:t>pasando de un proceso iterativo discreto mediante el uso de un software no especializado de optimización</w:t>
      </w:r>
      <w:r>
        <w:rPr>
          <w:rFonts w:cstheme="minorHAnsi"/>
          <w:color w:val="000000"/>
          <w:sz w:val="23"/>
          <w:szCs w:val="23"/>
        </w:rPr>
        <w:t>,</w:t>
      </w:r>
      <w:r w:rsidRPr="00EC7646">
        <w:rPr>
          <w:rFonts w:cstheme="minorHAnsi"/>
          <w:color w:val="000000"/>
          <w:sz w:val="23"/>
          <w:szCs w:val="23"/>
        </w:rPr>
        <w:t xml:space="preserve"> a un proceso de optimización de recursos mediante el uso de un software que permite la optimización de generación – Transmisión. Dicha mejora permite obtener resultados (planes de obras de generación) que se adaptan óptimamente al proceso de la planificación y que consideran de forma más certera los antecedentes presentados por el Ministerio de Energía al Proceso de Planificación Energética de Largo Plazo.</w:t>
      </w:r>
    </w:p>
    <w:p w14:paraId="389A7881" w14:textId="77777777" w:rsidR="00A57E0B" w:rsidRDefault="00A57E0B" w:rsidP="000A21DC">
      <w:pPr>
        <w:jc w:val="both"/>
        <w:rPr>
          <w:rFonts w:cstheme="minorHAnsi"/>
          <w:color w:val="000000"/>
          <w:sz w:val="23"/>
          <w:szCs w:val="23"/>
        </w:rPr>
      </w:pPr>
      <w:r w:rsidRPr="00780CAB">
        <w:rPr>
          <w:rFonts w:cstheme="minorHAnsi"/>
          <w:color w:val="000000"/>
          <w:sz w:val="23"/>
          <w:szCs w:val="23"/>
        </w:rPr>
        <w:t>Por otra parte, el 25 de mayo del 2021 se publicó el Reglamento de los Sistemas de Transmisión y de la Planificación de la Transmisión</w:t>
      </w:r>
      <w:r>
        <w:rPr>
          <w:rFonts w:cstheme="minorHAnsi"/>
          <w:color w:val="000000"/>
          <w:sz w:val="23"/>
          <w:szCs w:val="23"/>
        </w:rPr>
        <w:t xml:space="preserve">, el que </w:t>
      </w:r>
      <w:r w:rsidRPr="00780CAB">
        <w:rPr>
          <w:rFonts w:cstheme="minorHAnsi"/>
          <w:color w:val="000000"/>
          <w:sz w:val="23"/>
          <w:szCs w:val="23"/>
        </w:rPr>
        <w:t xml:space="preserve">permite ampliar y mejorar las metodologías de análisis otorgando mayores certezas en materias de Acceso Abierto a las instalaciones de Transmisión, Planificación de la Transmisión y Licitación de Obras de Expansión. </w:t>
      </w:r>
    </w:p>
    <w:p w14:paraId="46A802CF" w14:textId="7DB86F18" w:rsidR="00026956" w:rsidRPr="00A57E0B" w:rsidRDefault="00026956" w:rsidP="000A21DC">
      <w:pPr>
        <w:pStyle w:val="Prrafodelista"/>
        <w:spacing w:before="100" w:beforeAutospacing="1" w:after="100" w:afterAutospacing="1" w:line="240" w:lineRule="auto"/>
        <w:ind w:left="360" w:hanging="360"/>
        <w:jc w:val="both"/>
        <w:rPr>
          <w:rFonts w:eastAsia="Times New Roman" w:cstheme="minorHAnsi"/>
          <w:b/>
          <w:bCs/>
          <w:sz w:val="24"/>
          <w:szCs w:val="24"/>
          <w:lang w:eastAsia="es-CL"/>
        </w:rPr>
      </w:pPr>
      <w:r w:rsidRPr="00A57E0B">
        <w:rPr>
          <w:rFonts w:eastAsia="Times New Roman" w:cstheme="minorHAnsi"/>
          <w:b/>
          <w:bCs/>
          <w:sz w:val="24"/>
          <w:szCs w:val="24"/>
          <w:lang w:eastAsia="es-CL"/>
        </w:rPr>
        <w:t>En el Ámbito de Desarrollo de Propuestas de Normativas</w:t>
      </w:r>
    </w:p>
    <w:p w14:paraId="60F170B9" w14:textId="7C34FD83" w:rsidR="00026956" w:rsidRPr="00EC7646" w:rsidRDefault="00026956" w:rsidP="000A21DC">
      <w:pPr>
        <w:spacing w:after="0"/>
        <w:jc w:val="both"/>
        <w:rPr>
          <w:rFonts w:cstheme="minorHAnsi"/>
          <w:sz w:val="23"/>
          <w:szCs w:val="23"/>
        </w:rPr>
      </w:pPr>
      <w:r w:rsidRPr="00EC7646">
        <w:rPr>
          <w:rFonts w:cstheme="minorHAnsi"/>
          <w:sz w:val="23"/>
          <w:szCs w:val="23"/>
        </w:rPr>
        <w:t xml:space="preserve">La </w:t>
      </w:r>
      <w:r w:rsidR="00266424">
        <w:rPr>
          <w:rFonts w:cstheme="minorHAnsi"/>
          <w:sz w:val="23"/>
          <w:szCs w:val="23"/>
        </w:rPr>
        <w:t xml:space="preserve">CNE </w:t>
      </w:r>
      <w:r w:rsidRPr="00EC7646">
        <w:rPr>
          <w:rFonts w:cstheme="minorHAnsi"/>
          <w:sz w:val="23"/>
          <w:szCs w:val="23"/>
        </w:rPr>
        <w:t>tiene, dentro de sus funciones, la fijación de normas que rijan los aspectos técnicos, de seguridad, coordinación, calidad, información y económicos del funcionamiento del sector eléctrico. Estas normas serán fijadas mediante resolución exenta, de conformidad a lo señalado en el artículo 72°-19 de la Ley General de Servicios Eléctricos, siguiendo procedimiento público y participativo de elaboración.</w:t>
      </w:r>
    </w:p>
    <w:p w14:paraId="53A9681E" w14:textId="77777777" w:rsidR="00026956" w:rsidRPr="00EC7646" w:rsidRDefault="00026956" w:rsidP="000A21DC">
      <w:pPr>
        <w:spacing w:after="0"/>
        <w:jc w:val="both"/>
        <w:rPr>
          <w:rFonts w:cstheme="minorHAnsi"/>
          <w:sz w:val="23"/>
          <w:szCs w:val="23"/>
        </w:rPr>
      </w:pPr>
    </w:p>
    <w:p w14:paraId="297E4DB0" w14:textId="56CA6BD6" w:rsidR="00026956" w:rsidRPr="00EC7646" w:rsidRDefault="00A57E0B" w:rsidP="000A21DC">
      <w:pPr>
        <w:spacing w:after="0"/>
        <w:jc w:val="both"/>
        <w:rPr>
          <w:rFonts w:cstheme="minorHAnsi"/>
          <w:sz w:val="23"/>
          <w:szCs w:val="23"/>
        </w:rPr>
      </w:pPr>
      <w:r>
        <w:rPr>
          <w:rFonts w:cstheme="minorHAnsi"/>
          <w:sz w:val="23"/>
          <w:szCs w:val="23"/>
        </w:rPr>
        <w:t>En este contexto</w:t>
      </w:r>
      <w:r w:rsidR="00026956" w:rsidRPr="00EC7646">
        <w:rPr>
          <w:rFonts w:cstheme="minorHAnsi"/>
          <w:sz w:val="23"/>
          <w:szCs w:val="23"/>
        </w:rPr>
        <w:t>, durante el período comprendido entre los años 2018 y 2021, se han dictado las siguientes orientadas en 4 grandes ejes que se indican a continuación:</w:t>
      </w:r>
    </w:p>
    <w:p w14:paraId="6D7722AA" w14:textId="77777777" w:rsidR="00026956" w:rsidRPr="00EC7646" w:rsidRDefault="00026956" w:rsidP="000A21DC">
      <w:pPr>
        <w:spacing w:after="0"/>
        <w:jc w:val="both"/>
        <w:rPr>
          <w:rFonts w:cstheme="minorHAnsi"/>
          <w:sz w:val="23"/>
          <w:szCs w:val="23"/>
        </w:rPr>
      </w:pPr>
    </w:p>
    <w:p w14:paraId="0E79C9C6" w14:textId="16B6CA06" w:rsidR="00026956" w:rsidRPr="009A7518" w:rsidRDefault="00026956" w:rsidP="009A7518">
      <w:pPr>
        <w:spacing w:after="0"/>
        <w:jc w:val="both"/>
        <w:rPr>
          <w:rFonts w:cstheme="minorHAnsi"/>
          <w:sz w:val="23"/>
          <w:szCs w:val="23"/>
        </w:rPr>
      </w:pPr>
      <w:r w:rsidRPr="009A7518">
        <w:rPr>
          <w:rFonts w:cstheme="minorHAnsi"/>
          <w:sz w:val="23"/>
          <w:szCs w:val="23"/>
        </w:rPr>
        <w:t>Eje N°1: Mayores exigencias en calidad de servicio y modernización de los sistemas de distribución y fomento a la generación distribuida:</w:t>
      </w:r>
    </w:p>
    <w:p w14:paraId="713E67B3" w14:textId="77777777" w:rsidR="00026956" w:rsidRPr="00EC7646" w:rsidRDefault="00026956" w:rsidP="000A21DC">
      <w:pPr>
        <w:spacing w:after="0"/>
        <w:jc w:val="both"/>
        <w:rPr>
          <w:rFonts w:cstheme="minorHAnsi"/>
          <w:sz w:val="23"/>
          <w:szCs w:val="23"/>
        </w:rPr>
      </w:pPr>
    </w:p>
    <w:p w14:paraId="021D35C4" w14:textId="77777777" w:rsidR="00026956" w:rsidRPr="009A7518" w:rsidRDefault="00026956" w:rsidP="00A8055D">
      <w:pPr>
        <w:pStyle w:val="Prrafodelista"/>
        <w:numPr>
          <w:ilvl w:val="0"/>
          <w:numId w:val="26"/>
        </w:numPr>
        <w:spacing w:after="0"/>
        <w:ind w:left="720"/>
        <w:jc w:val="both"/>
        <w:rPr>
          <w:rFonts w:cstheme="minorHAnsi"/>
          <w:sz w:val="23"/>
          <w:szCs w:val="23"/>
        </w:rPr>
      </w:pPr>
      <w:r w:rsidRPr="009A7518">
        <w:rPr>
          <w:rFonts w:cstheme="minorHAnsi"/>
          <w:sz w:val="23"/>
          <w:szCs w:val="23"/>
        </w:rPr>
        <w:lastRenderedPageBreak/>
        <w:t>Modificación a la Norma Técnica de Conexión y Operación de equipamiento de generación en baja tensión aprobada con fecha 31 de mayo de 2019</w:t>
      </w:r>
    </w:p>
    <w:p w14:paraId="35A45DDF" w14:textId="03373BB3" w:rsidR="00026956" w:rsidRPr="009A7518" w:rsidRDefault="00026956" w:rsidP="009A7518">
      <w:pPr>
        <w:spacing w:after="0"/>
        <w:ind w:left="708"/>
        <w:jc w:val="both"/>
        <w:rPr>
          <w:rFonts w:cstheme="minorHAnsi"/>
          <w:sz w:val="23"/>
          <w:szCs w:val="23"/>
        </w:rPr>
      </w:pPr>
      <w:r w:rsidRPr="009A7518">
        <w:rPr>
          <w:rFonts w:cstheme="minorHAnsi"/>
          <w:sz w:val="23"/>
          <w:szCs w:val="23"/>
        </w:rPr>
        <w:t>Establece los procedimientos, metodologías y demás exigencias para la conexión y operación de Equipamientos de Generación</w:t>
      </w:r>
      <w:r w:rsidR="00266424" w:rsidRPr="009A7518">
        <w:rPr>
          <w:rFonts w:cstheme="minorHAnsi"/>
          <w:sz w:val="23"/>
          <w:szCs w:val="23"/>
        </w:rPr>
        <w:t xml:space="preserve"> (EG)</w:t>
      </w:r>
      <w:r w:rsidRPr="009A7518">
        <w:rPr>
          <w:rFonts w:cstheme="minorHAnsi"/>
          <w:sz w:val="23"/>
          <w:szCs w:val="23"/>
        </w:rPr>
        <w:t xml:space="preserve">, cuya capacidad instalada total no supere el límite que se establece en la Ley </w:t>
      </w:r>
      <w:r w:rsidR="00266424" w:rsidRPr="009A7518">
        <w:rPr>
          <w:rFonts w:cstheme="minorHAnsi"/>
          <w:sz w:val="23"/>
          <w:szCs w:val="23"/>
        </w:rPr>
        <w:t>N°</w:t>
      </w:r>
      <w:r w:rsidRPr="009A7518">
        <w:rPr>
          <w:rFonts w:cstheme="minorHAnsi"/>
          <w:sz w:val="23"/>
          <w:szCs w:val="23"/>
        </w:rPr>
        <w:t>20.571, conectados en redes de concesionarios de servicio público de distribución de electricidad, en ejecución de lo dispuesto en el artículo 149° bis del Decreto con Fuerza de Ley N°4 del Ministerio de Economía, Fomento y Reconstrucción, y de lo previsto en el Decreto N°71, del 4 de Junio 2014, modificado por el Decreto N°103, ambos del Ministerio de Energía, que aprobó el Reglamento para regular el Pago de las Tarifas Eléctricas de las Generadoras Residenciales, y que se dispongan para el consumo propio de Usuarios Finales sujetos a fijación de precios, con derecho a inyectar sus excedentes a la red de distribución.</w:t>
      </w:r>
    </w:p>
    <w:p w14:paraId="7DB1FA4B" w14:textId="77777777" w:rsidR="00026956" w:rsidRPr="009A7518" w:rsidRDefault="00026956" w:rsidP="00A8055D">
      <w:pPr>
        <w:spacing w:after="0"/>
        <w:ind w:left="1068"/>
        <w:jc w:val="both"/>
        <w:rPr>
          <w:rFonts w:cstheme="minorHAnsi"/>
          <w:sz w:val="23"/>
          <w:szCs w:val="23"/>
        </w:rPr>
      </w:pPr>
    </w:p>
    <w:p w14:paraId="2FDC0EA0" w14:textId="77777777" w:rsidR="00026956" w:rsidRPr="009A7518" w:rsidRDefault="00026956" w:rsidP="00A8055D">
      <w:pPr>
        <w:pStyle w:val="Prrafodelista"/>
        <w:numPr>
          <w:ilvl w:val="0"/>
          <w:numId w:val="26"/>
        </w:numPr>
        <w:spacing w:after="0"/>
        <w:ind w:left="720"/>
        <w:jc w:val="both"/>
        <w:rPr>
          <w:rFonts w:cstheme="minorHAnsi"/>
          <w:sz w:val="23"/>
          <w:szCs w:val="23"/>
        </w:rPr>
      </w:pPr>
      <w:r w:rsidRPr="009A7518">
        <w:rPr>
          <w:rFonts w:cstheme="minorHAnsi"/>
          <w:sz w:val="23"/>
          <w:szCs w:val="23"/>
        </w:rPr>
        <w:t>Modificación de la Norma Técnica de Conexión y Operación de PMGD en instalaciones de media tensión aprobada con fecha 22 de julio de 2019</w:t>
      </w:r>
    </w:p>
    <w:p w14:paraId="2829E1E0" w14:textId="77777777" w:rsidR="00026956" w:rsidRPr="009A7518" w:rsidRDefault="00026956" w:rsidP="009A7518">
      <w:pPr>
        <w:spacing w:after="0"/>
        <w:ind w:left="708"/>
        <w:jc w:val="both"/>
        <w:rPr>
          <w:rFonts w:cstheme="minorHAnsi"/>
          <w:sz w:val="23"/>
          <w:szCs w:val="23"/>
        </w:rPr>
      </w:pPr>
      <w:r w:rsidRPr="009A7518">
        <w:rPr>
          <w:rFonts w:cstheme="minorHAnsi"/>
          <w:sz w:val="23"/>
          <w:szCs w:val="23"/>
        </w:rPr>
        <w:t>Establece los procedimientos, metodologías y demás exigencias para la conexión y operación de los Pequeños Medios de Generación Distribuidos (PMGD), en redes de media tensión de concesionarios de servicio público de distribución de electricidad o de aquellas empresas que posean instalaciones de distribución de energía eléctrica que utilicen bienes nacionales de uso público.</w:t>
      </w:r>
    </w:p>
    <w:p w14:paraId="69CB085E" w14:textId="77777777" w:rsidR="00026956" w:rsidRPr="009A7518" w:rsidRDefault="00026956" w:rsidP="00A8055D">
      <w:pPr>
        <w:spacing w:after="0"/>
        <w:ind w:left="1068"/>
        <w:jc w:val="both"/>
        <w:rPr>
          <w:rFonts w:cstheme="minorHAnsi"/>
          <w:sz w:val="23"/>
          <w:szCs w:val="23"/>
        </w:rPr>
      </w:pPr>
    </w:p>
    <w:p w14:paraId="2D0CEE9E" w14:textId="77777777" w:rsidR="00026956" w:rsidRPr="009A7518" w:rsidRDefault="00026956" w:rsidP="00A8055D">
      <w:pPr>
        <w:pStyle w:val="Prrafodelista"/>
        <w:numPr>
          <w:ilvl w:val="0"/>
          <w:numId w:val="26"/>
        </w:numPr>
        <w:spacing w:after="0"/>
        <w:ind w:left="720"/>
        <w:jc w:val="both"/>
        <w:rPr>
          <w:rFonts w:cstheme="minorHAnsi"/>
          <w:sz w:val="23"/>
          <w:szCs w:val="23"/>
        </w:rPr>
      </w:pPr>
      <w:r w:rsidRPr="009A7518">
        <w:rPr>
          <w:rFonts w:cstheme="minorHAnsi"/>
          <w:sz w:val="23"/>
          <w:szCs w:val="23"/>
        </w:rPr>
        <w:t>Anexo Técnico de Sistemas de Medición, Monitoreo y Control de la Norma Técnica de Calidad de Servicio para Sistemas de Distribución aprobada con fecha 12 de agosto de 2019</w:t>
      </w:r>
    </w:p>
    <w:p w14:paraId="642AEF86" w14:textId="77777777" w:rsidR="00026956" w:rsidRPr="009A7518" w:rsidRDefault="00026956" w:rsidP="009A7518">
      <w:pPr>
        <w:spacing w:after="0"/>
        <w:ind w:left="708"/>
        <w:jc w:val="both"/>
        <w:rPr>
          <w:rFonts w:cstheme="minorHAnsi"/>
          <w:sz w:val="23"/>
          <w:szCs w:val="23"/>
        </w:rPr>
      </w:pPr>
      <w:r w:rsidRPr="009A7518">
        <w:rPr>
          <w:rFonts w:cstheme="minorHAnsi"/>
          <w:sz w:val="23"/>
          <w:szCs w:val="23"/>
        </w:rPr>
        <w:t xml:space="preserve">Establece las exigencias técnicas mínimas que permiten asegurar un nivel de calidad, seguridad, escalabilidad e interoperabilidad para los Sistemas de Medición, Monitoreo y Control que deben implementar las Empresas Distribuidoras, de acuerdo con lo establecido en la Norma Técnica de Calidad de Servicio para Sistemas de Distribución y demás normativa aplicable. </w:t>
      </w:r>
    </w:p>
    <w:p w14:paraId="5E33D67F" w14:textId="77777777" w:rsidR="00026956" w:rsidRPr="009A7518" w:rsidRDefault="00026956" w:rsidP="00A8055D">
      <w:pPr>
        <w:spacing w:after="0"/>
        <w:ind w:left="1068"/>
        <w:jc w:val="both"/>
        <w:rPr>
          <w:rFonts w:cstheme="minorHAnsi"/>
          <w:sz w:val="23"/>
          <w:szCs w:val="23"/>
        </w:rPr>
      </w:pPr>
    </w:p>
    <w:p w14:paraId="05B8B8C8" w14:textId="77777777" w:rsidR="00026956" w:rsidRPr="009A7518" w:rsidRDefault="00026956" w:rsidP="00A8055D">
      <w:pPr>
        <w:pStyle w:val="Prrafodelista"/>
        <w:numPr>
          <w:ilvl w:val="0"/>
          <w:numId w:val="26"/>
        </w:numPr>
        <w:spacing w:after="0"/>
        <w:ind w:left="720"/>
        <w:jc w:val="both"/>
        <w:rPr>
          <w:rFonts w:cstheme="minorHAnsi"/>
          <w:sz w:val="23"/>
          <w:szCs w:val="23"/>
        </w:rPr>
      </w:pPr>
      <w:r w:rsidRPr="009A7518">
        <w:rPr>
          <w:rFonts w:cstheme="minorHAnsi"/>
          <w:sz w:val="23"/>
          <w:szCs w:val="23"/>
        </w:rPr>
        <w:t>Modificación de la Norma Técnica de Calidad de Servicio para Sistemas de Distribución, aprobada con fecha 18 de diciembre de 2019</w:t>
      </w:r>
    </w:p>
    <w:p w14:paraId="1A9580B0" w14:textId="77777777" w:rsidR="00026956" w:rsidRPr="009A7518" w:rsidRDefault="00026956" w:rsidP="009A7518">
      <w:pPr>
        <w:spacing w:after="0"/>
        <w:ind w:left="708"/>
        <w:jc w:val="both"/>
        <w:rPr>
          <w:rFonts w:cstheme="minorHAnsi"/>
          <w:sz w:val="23"/>
          <w:szCs w:val="23"/>
        </w:rPr>
      </w:pPr>
      <w:r w:rsidRPr="009A7518">
        <w:rPr>
          <w:rFonts w:cstheme="minorHAnsi"/>
          <w:sz w:val="23"/>
          <w:szCs w:val="23"/>
        </w:rPr>
        <w:t>Establece las exigencias que deberán cumplir los concesionarios de servicio público de distribución de electricidad y las empresas que sean propietarias, arrendatarias, usufructuarias o que operen, a cualquier título, instalaciones de distribución de energía eléctrica.</w:t>
      </w:r>
    </w:p>
    <w:p w14:paraId="067D5E9A" w14:textId="77777777" w:rsidR="00026956" w:rsidRPr="00EC7646" w:rsidRDefault="00026956" w:rsidP="000A21DC">
      <w:pPr>
        <w:spacing w:after="0"/>
        <w:jc w:val="both"/>
        <w:rPr>
          <w:rFonts w:cstheme="minorHAnsi"/>
          <w:sz w:val="23"/>
          <w:szCs w:val="23"/>
        </w:rPr>
      </w:pPr>
    </w:p>
    <w:p w14:paraId="12A2F704" w14:textId="511448D2" w:rsidR="00026956" w:rsidRPr="005878F1" w:rsidRDefault="00026956" w:rsidP="000A21DC">
      <w:pPr>
        <w:spacing w:after="0"/>
        <w:jc w:val="both"/>
        <w:rPr>
          <w:rFonts w:cstheme="minorHAnsi"/>
          <w:sz w:val="23"/>
          <w:szCs w:val="23"/>
        </w:rPr>
      </w:pPr>
      <w:r w:rsidRPr="005878F1">
        <w:rPr>
          <w:rFonts w:cstheme="minorHAnsi"/>
          <w:sz w:val="23"/>
          <w:szCs w:val="23"/>
        </w:rPr>
        <w:t>Eje N°2: Perfeccionamiento del Mercado de Corto Plazo:</w:t>
      </w:r>
    </w:p>
    <w:p w14:paraId="10EB095B" w14:textId="77777777" w:rsidR="00026956" w:rsidRPr="00EC7646" w:rsidRDefault="00026956" w:rsidP="000A21DC">
      <w:pPr>
        <w:spacing w:after="0"/>
        <w:jc w:val="both"/>
        <w:rPr>
          <w:rFonts w:cstheme="minorHAnsi"/>
          <w:b/>
          <w:bCs/>
          <w:sz w:val="23"/>
          <w:szCs w:val="23"/>
        </w:rPr>
      </w:pPr>
    </w:p>
    <w:p w14:paraId="23D2A4AD" w14:textId="77777777" w:rsidR="00026956" w:rsidRPr="009A7518" w:rsidRDefault="00026956" w:rsidP="009A7518">
      <w:pPr>
        <w:pStyle w:val="Prrafodelista"/>
        <w:numPr>
          <w:ilvl w:val="0"/>
          <w:numId w:val="26"/>
        </w:numPr>
        <w:spacing w:after="0"/>
        <w:ind w:left="720"/>
        <w:jc w:val="both"/>
        <w:rPr>
          <w:rFonts w:cstheme="minorHAnsi"/>
          <w:sz w:val="23"/>
          <w:szCs w:val="23"/>
        </w:rPr>
      </w:pPr>
      <w:r w:rsidRPr="009A7518">
        <w:rPr>
          <w:rFonts w:cstheme="minorHAnsi"/>
          <w:sz w:val="23"/>
          <w:szCs w:val="23"/>
        </w:rPr>
        <w:t xml:space="preserve">Norma Técnica para la Programación y Coordinación de la Operación de Unidades que utilicen Gas Natural </w:t>
      </w:r>
      <w:proofErr w:type="spellStart"/>
      <w:r w:rsidRPr="009A7518">
        <w:rPr>
          <w:rFonts w:cstheme="minorHAnsi"/>
          <w:sz w:val="23"/>
          <w:szCs w:val="23"/>
        </w:rPr>
        <w:t>Regasificado</w:t>
      </w:r>
      <w:proofErr w:type="spellEnd"/>
      <w:r w:rsidRPr="009A7518">
        <w:rPr>
          <w:rFonts w:cstheme="minorHAnsi"/>
          <w:sz w:val="23"/>
          <w:szCs w:val="23"/>
        </w:rPr>
        <w:t xml:space="preserve">, aprobada con fecha 21 de junio de 2019 </w:t>
      </w:r>
    </w:p>
    <w:p w14:paraId="630458A9" w14:textId="77777777" w:rsidR="00026956" w:rsidRPr="009A7518" w:rsidRDefault="00026956" w:rsidP="009A7518">
      <w:pPr>
        <w:spacing w:after="0"/>
        <w:ind w:left="708"/>
        <w:jc w:val="both"/>
        <w:rPr>
          <w:rFonts w:cstheme="minorHAnsi"/>
          <w:strike/>
          <w:sz w:val="23"/>
          <w:szCs w:val="23"/>
        </w:rPr>
      </w:pPr>
      <w:r w:rsidRPr="009A7518">
        <w:rPr>
          <w:rFonts w:cstheme="minorHAnsi"/>
          <w:sz w:val="23"/>
          <w:szCs w:val="23"/>
        </w:rPr>
        <w:lastRenderedPageBreak/>
        <w:t>Establece las exigencias de información, procedimientos, metodologías, mecanismos y condiciones de aplicación que resulten necesarias para la programación y coordinación de Unidades GNL.</w:t>
      </w:r>
    </w:p>
    <w:p w14:paraId="38CA471A" w14:textId="77777777" w:rsidR="00026956" w:rsidRPr="009A7518" w:rsidRDefault="00026956" w:rsidP="009A7518">
      <w:pPr>
        <w:spacing w:after="0"/>
        <w:ind w:left="1068"/>
        <w:jc w:val="both"/>
        <w:rPr>
          <w:rFonts w:cstheme="minorHAnsi"/>
          <w:sz w:val="23"/>
          <w:szCs w:val="23"/>
        </w:rPr>
      </w:pPr>
    </w:p>
    <w:p w14:paraId="43168603" w14:textId="77777777" w:rsidR="00026956" w:rsidRPr="009A7518" w:rsidRDefault="00026956" w:rsidP="009A7518">
      <w:pPr>
        <w:pStyle w:val="Prrafodelista"/>
        <w:numPr>
          <w:ilvl w:val="0"/>
          <w:numId w:val="26"/>
        </w:numPr>
        <w:spacing w:after="0"/>
        <w:ind w:left="720"/>
        <w:jc w:val="both"/>
        <w:rPr>
          <w:rFonts w:cstheme="minorHAnsi"/>
          <w:sz w:val="23"/>
          <w:szCs w:val="23"/>
        </w:rPr>
      </w:pPr>
      <w:r w:rsidRPr="009A7518">
        <w:rPr>
          <w:rFonts w:cstheme="minorHAnsi"/>
          <w:sz w:val="23"/>
          <w:szCs w:val="23"/>
        </w:rPr>
        <w:t>Norma Técnica de Servicios Complementarios aprobada con fecha 18 de diciembre de 2019</w:t>
      </w:r>
    </w:p>
    <w:p w14:paraId="52200B90" w14:textId="77777777" w:rsidR="00026956" w:rsidRPr="009A7518" w:rsidRDefault="00026956" w:rsidP="009A7518">
      <w:pPr>
        <w:spacing w:after="0"/>
        <w:ind w:left="708"/>
        <w:jc w:val="both"/>
        <w:rPr>
          <w:rFonts w:cstheme="minorHAnsi"/>
          <w:sz w:val="23"/>
          <w:szCs w:val="23"/>
        </w:rPr>
      </w:pPr>
      <w:r w:rsidRPr="009A7518">
        <w:rPr>
          <w:rFonts w:cstheme="minorHAnsi"/>
          <w:sz w:val="23"/>
          <w:szCs w:val="23"/>
        </w:rPr>
        <w:t xml:space="preserve">Establece las exigencias, procedimientos, metodologías y condiciones de aplicación con las que se regirá la prestación de Servicios Complementarios, la determinación de los requerimientos de </w:t>
      </w:r>
      <w:proofErr w:type="gramStart"/>
      <w:r w:rsidRPr="009A7518">
        <w:rPr>
          <w:rFonts w:cstheme="minorHAnsi"/>
          <w:sz w:val="23"/>
          <w:szCs w:val="23"/>
        </w:rPr>
        <w:t>los mismos</w:t>
      </w:r>
      <w:proofErr w:type="gramEnd"/>
      <w:r w:rsidRPr="009A7518">
        <w:rPr>
          <w:rFonts w:cstheme="minorHAnsi"/>
          <w:sz w:val="23"/>
          <w:szCs w:val="23"/>
        </w:rPr>
        <w:t>, y sus procesos de verificación de instalaciones, y de evaluación de disponibilidad y desempeño, de conformidad a lo establecido en el Reglamento de SSCC y la Ley.</w:t>
      </w:r>
    </w:p>
    <w:p w14:paraId="3268716C" w14:textId="77777777" w:rsidR="00026956" w:rsidRPr="009A7518" w:rsidRDefault="00026956" w:rsidP="009A7518">
      <w:pPr>
        <w:spacing w:after="0"/>
        <w:ind w:left="1068"/>
        <w:jc w:val="both"/>
        <w:rPr>
          <w:rFonts w:cstheme="minorHAnsi"/>
          <w:sz w:val="23"/>
          <w:szCs w:val="23"/>
        </w:rPr>
      </w:pPr>
    </w:p>
    <w:p w14:paraId="6BD41B77" w14:textId="77777777" w:rsidR="00026956" w:rsidRPr="009A7518" w:rsidRDefault="00026956" w:rsidP="009A7518">
      <w:pPr>
        <w:pStyle w:val="Prrafodelista"/>
        <w:numPr>
          <w:ilvl w:val="0"/>
          <w:numId w:val="26"/>
        </w:numPr>
        <w:spacing w:after="0"/>
        <w:ind w:left="720"/>
        <w:jc w:val="both"/>
        <w:rPr>
          <w:rFonts w:cstheme="minorHAnsi"/>
          <w:sz w:val="23"/>
          <w:szCs w:val="23"/>
        </w:rPr>
      </w:pPr>
      <w:r w:rsidRPr="009A7518">
        <w:rPr>
          <w:rFonts w:cstheme="minorHAnsi"/>
          <w:sz w:val="23"/>
          <w:szCs w:val="23"/>
        </w:rPr>
        <w:t>Norma Técnica de Coordinación y Operación del Sistema Eléctrico Nacional, capítulos “de Costos Marginales” y “de las Transferencias Económicas y la Coordinación de Mercado aprobada con fecha 2 de agosto de 2021</w:t>
      </w:r>
    </w:p>
    <w:p w14:paraId="432E9F43" w14:textId="77777777" w:rsidR="00026956" w:rsidRPr="009A7518" w:rsidRDefault="00026956" w:rsidP="009A7518">
      <w:pPr>
        <w:spacing w:after="0"/>
        <w:ind w:left="708"/>
        <w:jc w:val="both"/>
        <w:rPr>
          <w:rFonts w:cstheme="minorHAnsi"/>
          <w:sz w:val="23"/>
          <w:szCs w:val="23"/>
        </w:rPr>
      </w:pPr>
      <w:r w:rsidRPr="009A7518">
        <w:rPr>
          <w:rFonts w:cstheme="minorHAnsi"/>
          <w:sz w:val="23"/>
          <w:szCs w:val="23"/>
        </w:rPr>
        <w:t xml:space="preserve">Establece las exigencias, procedimientos, metodologías y condiciones de aplicación con las que se regirá el proceso de coordinación y operación del Sistema Eléctrico Nacional, en conformidad al Reglamento de la Coordinación y Operación del Sistema Eléctrico, a la Ley General de Servicios Eléctricos y a la restante normativa aplicable. </w:t>
      </w:r>
    </w:p>
    <w:p w14:paraId="6EA0B111" w14:textId="77777777" w:rsidR="00026956" w:rsidRPr="009A7518" w:rsidRDefault="00026956" w:rsidP="009A7518">
      <w:pPr>
        <w:spacing w:after="0"/>
        <w:ind w:left="1068"/>
        <w:jc w:val="both"/>
        <w:rPr>
          <w:rFonts w:cstheme="minorHAnsi"/>
          <w:sz w:val="23"/>
          <w:szCs w:val="23"/>
        </w:rPr>
      </w:pPr>
    </w:p>
    <w:p w14:paraId="25B5D050" w14:textId="77777777" w:rsidR="00026956" w:rsidRPr="009A7518" w:rsidRDefault="00026956" w:rsidP="009A7518">
      <w:pPr>
        <w:pStyle w:val="Prrafodelista"/>
        <w:numPr>
          <w:ilvl w:val="0"/>
          <w:numId w:val="26"/>
        </w:numPr>
        <w:spacing w:after="0"/>
        <w:ind w:left="720"/>
        <w:jc w:val="both"/>
        <w:rPr>
          <w:rFonts w:cstheme="minorHAnsi"/>
          <w:sz w:val="23"/>
          <w:szCs w:val="23"/>
        </w:rPr>
      </w:pPr>
      <w:r w:rsidRPr="009A7518">
        <w:rPr>
          <w:rFonts w:cstheme="minorHAnsi"/>
          <w:sz w:val="23"/>
          <w:szCs w:val="23"/>
        </w:rPr>
        <w:t xml:space="preserve">Modificación de la Norma Técnica para programación de la operación de unidades que utilicen gas natural </w:t>
      </w:r>
      <w:proofErr w:type="spellStart"/>
      <w:r w:rsidRPr="009A7518">
        <w:rPr>
          <w:rFonts w:cstheme="minorHAnsi"/>
          <w:sz w:val="23"/>
          <w:szCs w:val="23"/>
        </w:rPr>
        <w:t>regasificado</w:t>
      </w:r>
      <w:proofErr w:type="spellEnd"/>
      <w:r w:rsidRPr="009A7518">
        <w:rPr>
          <w:rFonts w:cstheme="minorHAnsi"/>
          <w:sz w:val="23"/>
          <w:szCs w:val="23"/>
        </w:rPr>
        <w:t xml:space="preserve"> aprobada con fecha 13 de octubre de 2021</w:t>
      </w:r>
    </w:p>
    <w:p w14:paraId="4B055FB5" w14:textId="77777777" w:rsidR="00026956" w:rsidRPr="009A7518" w:rsidRDefault="00026956" w:rsidP="009A7518">
      <w:pPr>
        <w:spacing w:after="0"/>
        <w:ind w:left="708"/>
        <w:jc w:val="both"/>
        <w:rPr>
          <w:rFonts w:cstheme="minorHAnsi"/>
          <w:sz w:val="23"/>
          <w:szCs w:val="23"/>
        </w:rPr>
      </w:pPr>
      <w:r w:rsidRPr="009A7518">
        <w:rPr>
          <w:rFonts w:cstheme="minorHAnsi"/>
          <w:sz w:val="23"/>
          <w:szCs w:val="23"/>
        </w:rPr>
        <w:t>Establece las exigencias de información, procedimientos, metodologías, mecanismos y condiciones de aplicación que resulten necesarias para la programación y coordinación de Unidades GNL, con el objeto de modernizar la regulación energética y adaptarla a los nuevos escenarios de la matriz energética nacional.</w:t>
      </w:r>
    </w:p>
    <w:p w14:paraId="28358A02" w14:textId="77777777" w:rsidR="00026956" w:rsidRPr="00EC7646" w:rsidRDefault="00026956" w:rsidP="000A21DC">
      <w:pPr>
        <w:spacing w:after="0"/>
        <w:ind w:left="708"/>
        <w:jc w:val="both"/>
        <w:rPr>
          <w:rFonts w:cstheme="minorHAnsi"/>
          <w:strike/>
          <w:sz w:val="23"/>
          <w:szCs w:val="23"/>
        </w:rPr>
      </w:pPr>
    </w:p>
    <w:p w14:paraId="6D73A2A5" w14:textId="77777777" w:rsidR="00026956" w:rsidRPr="00EC7646" w:rsidRDefault="00026956" w:rsidP="000A21DC">
      <w:pPr>
        <w:spacing w:after="0"/>
        <w:jc w:val="both"/>
        <w:rPr>
          <w:rFonts w:cstheme="minorHAnsi"/>
          <w:sz w:val="23"/>
          <w:szCs w:val="23"/>
        </w:rPr>
      </w:pPr>
    </w:p>
    <w:p w14:paraId="08337EDE" w14:textId="0F94E762" w:rsidR="00026956" w:rsidRPr="005878F1" w:rsidRDefault="00026956" w:rsidP="000A21DC">
      <w:pPr>
        <w:spacing w:after="0"/>
        <w:jc w:val="both"/>
        <w:rPr>
          <w:rFonts w:cstheme="minorHAnsi"/>
          <w:sz w:val="23"/>
          <w:szCs w:val="23"/>
        </w:rPr>
      </w:pPr>
      <w:r w:rsidRPr="005878F1">
        <w:rPr>
          <w:rFonts w:cstheme="minorHAnsi"/>
          <w:sz w:val="23"/>
          <w:szCs w:val="23"/>
        </w:rPr>
        <w:t>Eje N°3: Incremento de los estándares técnicos en seguridad y calidad de servicio de los sistemas eléctricos de Chile:</w:t>
      </w:r>
    </w:p>
    <w:p w14:paraId="3A96C5EB" w14:textId="77777777" w:rsidR="00026956" w:rsidRPr="00EC7646" w:rsidRDefault="00026956" w:rsidP="000A21DC">
      <w:pPr>
        <w:spacing w:after="0"/>
        <w:jc w:val="both"/>
        <w:rPr>
          <w:rFonts w:cstheme="minorHAnsi"/>
          <w:sz w:val="23"/>
          <w:szCs w:val="23"/>
        </w:rPr>
      </w:pPr>
    </w:p>
    <w:p w14:paraId="453395D9" w14:textId="77777777" w:rsidR="00026956" w:rsidRPr="009A7518" w:rsidRDefault="00026956" w:rsidP="009A7518">
      <w:pPr>
        <w:pStyle w:val="Prrafodelista"/>
        <w:numPr>
          <w:ilvl w:val="0"/>
          <w:numId w:val="26"/>
        </w:numPr>
        <w:spacing w:after="0"/>
        <w:ind w:left="720"/>
        <w:jc w:val="both"/>
        <w:rPr>
          <w:rFonts w:cstheme="minorHAnsi"/>
          <w:sz w:val="23"/>
          <w:szCs w:val="23"/>
        </w:rPr>
      </w:pPr>
      <w:r w:rsidRPr="009A7518">
        <w:rPr>
          <w:rFonts w:cstheme="minorHAnsi"/>
          <w:sz w:val="23"/>
          <w:szCs w:val="23"/>
        </w:rPr>
        <w:t>Norma Técnica de Seguridad y Calidad de Servicio para Sistemas Medianos aprobada con fecha 8 de marzo de 2018</w:t>
      </w:r>
    </w:p>
    <w:p w14:paraId="670878A0" w14:textId="77777777" w:rsidR="00026956" w:rsidRPr="009A7518" w:rsidRDefault="00026956" w:rsidP="009A7518">
      <w:pPr>
        <w:spacing w:after="0"/>
        <w:ind w:left="708"/>
        <w:jc w:val="both"/>
        <w:rPr>
          <w:rFonts w:cstheme="minorHAnsi"/>
          <w:sz w:val="23"/>
          <w:szCs w:val="23"/>
        </w:rPr>
      </w:pPr>
      <w:r w:rsidRPr="009A7518">
        <w:rPr>
          <w:rFonts w:cstheme="minorHAnsi"/>
          <w:sz w:val="23"/>
          <w:szCs w:val="23"/>
        </w:rPr>
        <w:t>Esta norma es aplicable a Instalaciones de Generación, de Almacenamiento de Energía, líneas e Instalaciones de Transmisión e Instalaciones de Clientes abastecidos directamente desde Instalaciones de Transmisión o Generación en Sistemas Medianos que se encuentren sujetos a la tarificación señalada en el artículo 178° de la Ley. También aplica a funciones y actividades que deberá cumplir la Operadora Principal, los Integrantes, Grandes Clientes y el Coordinador en cuanto a la operación y coordinación del sistema.</w:t>
      </w:r>
    </w:p>
    <w:p w14:paraId="4B088750" w14:textId="77777777" w:rsidR="00026956" w:rsidRPr="009A7518" w:rsidRDefault="00026956" w:rsidP="009A7518">
      <w:pPr>
        <w:spacing w:after="0"/>
        <w:ind w:left="1068"/>
        <w:jc w:val="both"/>
        <w:rPr>
          <w:rFonts w:cstheme="minorHAnsi"/>
          <w:sz w:val="23"/>
          <w:szCs w:val="23"/>
        </w:rPr>
      </w:pPr>
    </w:p>
    <w:p w14:paraId="213BE533" w14:textId="77777777" w:rsidR="00026956" w:rsidRPr="009A7518" w:rsidRDefault="00026956" w:rsidP="009A7518">
      <w:pPr>
        <w:pStyle w:val="Prrafodelista"/>
        <w:numPr>
          <w:ilvl w:val="0"/>
          <w:numId w:val="26"/>
        </w:numPr>
        <w:spacing w:after="0"/>
        <w:ind w:left="720"/>
        <w:jc w:val="both"/>
        <w:rPr>
          <w:rFonts w:cstheme="minorHAnsi"/>
          <w:sz w:val="23"/>
          <w:szCs w:val="23"/>
        </w:rPr>
      </w:pPr>
      <w:r w:rsidRPr="009A7518">
        <w:rPr>
          <w:rFonts w:cstheme="minorHAnsi"/>
          <w:sz w:val="23"/>
          <w:szCs w:val="23"/>
        </w:rPr>
        <w:lastRenderedPageBreak/>
        <w:t xml:space="preserve">Norma Técnica de Seguridad y Calidad de Servicio aprobada con fecha 8 de septiembre de 2020 </w:t>
      </w:r>
    </w:p>
    <w:p w14:paraId="11D4A6E7" w14:textId="77777777" w:rsidR="00026956" w:rsidRPr="009A7518" w:rsidRDefault="00026956" w:rsidP="009A7518">
      <w:pPr>
        <w:spacing w:after="0"/>
        <w:ind w:left="708"/>
        <w:jc w:val="both"/>
        <w:rPr>
          <w:rFonts w:cstheme="minorHAnsi"/>
          <w:sz w:val="23"/>
          <w:szCs w:val="23"/>
        </w:rPr>
      </w:pPr>
      <w:r w:rsidRPr="009A7518">
        <w:rPr>
          <w:rFonts w:cstheme="minorHAnsi"/>
          <w:sz w:val="23"/>
          <w:szCs w:val="23"/>
        </w:rPr>
        <w:t>Se trabajó en una modificación normativa que finalizó con el Anexo Técnico “Exigencias Mínimas de Diseño de Instalaciones de Transmisión” de la Norma Seguridad y Calidad de Servicio, y cuyo objetivo es el de definir las exigencias mínimas de diseño de las instalaciones de los Sistemas de Transmisión, a efectos de que éstas garanticen el cumplimiento de los objetivos de seguridad y calidad de servicio. Cabe señalar que el alcance de esta modificación circunscribe a las instalaciones de todos los sistemas de transmisión, es decir, del Sistema de Transmisión Nacional, Sistema de Transmisión Zonal, Sistema de Transmisión Dedicada, y Sistema de Transmisión para Polos de Desarrollo.</w:t>
      </w:r>
    </w:p>
    <w:p w14:paraId="5B57E608" w14:textId="77777777" w:rsidR="00026956" w:rsidRPr="00EC7646" w:rsidRDefault="00026956" w:rsidP="000A21DC">
      <w:pPr>
        <w:spacing w:after="0"/>
        <w:jc w:val="both"/>
        <w:rPr>
          <w:rFonts w:cstheme="minorHAnsi"/>
          <w:sz w:val="23"/>
          <w:szCs w:val="23"/>
        </w:rPr>
      </w:pPr>
    </w:p>
    <w:p w14:paraId="5620B186" w14:textId="4B67017F" w:rsidR="00026956" w:rsidRPr="005878F1" w:rsidRDefault="00026956" w:rsidP="000A21DC">
      <w:pPr>
        <w:spacing w:after="0"/>
        <w:jc w:val="both"/>
        <w:rPr>
          <w:rFonts w:cstheme="minorHAnsi"/>
          <w:sz w:val="23"/>
          <w:szCs w:val="23"/>
        </w:rPr>
      </w:pPr>
      <w:r w:rsidRPr="005878F1">
        <w:rPr>
          <w:rFonts w:cstheme="minorHAnsi"/>
          <w:sz w:val="23"/>
          <w:szCs w:val="23"/>
        </w:rPr>
        <w:t>Eje N°4: Compensaciones a clientes por indisponibilidad de suministro</w:t>
      </w:r>
    </w:p>
    <w:p w14:paraId="3F473BBE" w14:textId="77777777" w:rsidR="00026956" w:rsidRPr="00EC7646" w:rsidRDefault="00026956" w:rsidP="000A21DC">
      <w:pPr>
        <w:spacing w:after="0"/>
        <w:jc w:val="both"/>
        <w:rPr>
          <w:rFonts w:cstheme="minorHAnsi"/>
          <w:b/>
          <w:bCs/>
          <w:sz w:val="23"/>
          <w:szCs w:val="23"/>
        </w:rPr>
      </w:pPr>
    </w:p>
    <w:p w14:paraId="2ACBCE9A" w14:textId="77777777" w:rsidR="00026956" w:rsidRPr="009A7518" w:rsidRDefault="00026956" w:rsidP="009A7518">
      <w:pPr>
        <w:pStyle w:val="Prrafodelista"/>
        <w:numPr>
          <w:ilvl w:val="0"/>
          <w:numId w:val="26"/>
        </w:numPr>
        <w:spacing w:after="0"/>
        <w:ind w:left="720"/>
        <w:jc w:val="both"/>
        <w:rPr>
          <w:rFonts w:cstheme="minorHAnsi"/>
          <w:sz w:val="23"/>
          <w:szCs w:val="23"/>
        </w:rPr>
      </w:pPr>
      <w:r w:rsidRPr="009A7518">
        <w:rPr>
          <w:rFonts w:cstheme="minorHAnsi"/>
          <w:sz w:val="23"/>
          <w:szCs w:val="23"/>
        </w:rPr>
        <w:t xml:space="preserve">Norma Técnica de Indisponibilidad de Suministro y Compensaciones aprobada con fecha 28 de diciembre de 2020 </w:t>
      </w:r>
    </w:p>
    <w:p w14:paraId="67C1B6F8" w14:textId="77777777" w:rsidR="00026956" w:rsidRPr="009A7518" w:rsidRDefault="00026956" w:rsidP="009A7518">
      <w:pPr>
        <w:spacing w:after="0"/>
        <w:ind w:left="708"/>
        <w:jc w:val="both"/>
        <w:rPr>
          <w:rFonts w:cstheme="minorHAnsi"/>
          <w:sz w:val="23"/>
          <w:szCs w:val="23"/>
        </w:rPr>
      </w:pPr>
      <w:r w:rsidRPr="009A7518">
        <w:rPr>
          <w:rFonts w:cstheme="minorHAnsi"/>
          <w:sz w:val="23"/>
          <w:szCs w:val="23"/>
        </w:rPr>
        <w:t>Establece los requisitos, procedimientos, metodologías y condiciones de aplicación para la determinación y el pago de compensaciones a usuarios finales por indisponibilidad de suministro eléctrico de acuerdo con lo dispuesto en el artículo 72°-20 de la Ley y el Reglamento para la Determinación y Pago de las Compensaciones por Indisponibilidad de Suministro Eléctrico.</w:t>
      </w:r>
    </w:p>
    <w:p w14:paraId="278AF72A" w14:textId="49B148DE" w:rsidR="00026956" w:rsidRPr="0020595E" w:rsidRDefault="00026956" w:rsidP="000A21DC">
      <w:pPr>
        <w:jc w:val="both"/>
        <w:rPr>
          <w:rFonts w:cstheme="minorHAnsi"/>
          <w:sz w:val="23"/>
          <w:szCs w:val="23"/>
        </w:rPr>
      </w:pPr>
    </w:p>
    <w:p w14:paraId="31453D6C" w14:textId="2B1F3CF4" w:rsidR="00026956" w:rsidRPr="00FD6333" w:rsidRDefault="00026956" w:rsidP="00FD6333">
      <w:pPr>
        <w:pStyle w:val="Prrafodelista"/>
        <w:spacing w:before="100" w:beforeAutospacing="1" w:after="100" w:afterAutospacing="1" w:line="240" w:lineRule="auto"/>
        <w:ind w:left="360" w:hanging="360"/>
        <w:jc w:val="both"/>
        <w:rPr>
          <w:rFonts w:eastAsia="Times New Roman" w:cstheme="minorHAnsi"/>
          <w:b/>
          <w:bCs/>
          <w:sz w:val="24"/>
          <w:szCs w:val="24"/>
          <w:lang w:eastAsia="es-CL"/>
        </w:rPr>
      </w:pPr>
      <w:r w:rsidRPr="00FD6333">
        <w:rPr>
          <w:rFonts w:eastAsia="Times New Roman" w:cstheme="minorHAnsi"/>
          <w:b/>
          <w:bCs/>
          <w:sz w:val="24"/>
          <w:szCs w:val="24"/>
          <w:lang w:eastAsia="es-CL"/>
        </w:rPr>
        <w:t>En el Ámbito de Fijaciones de Precios de los Segmentos del Sector Eléctrico</w:t>
      </w:r>
    </w:p>
    <w:p w14:paraId="75F9F3FE" w14:textId="77777777" w:rsidR="00FD6333" w:rsidRPr="00EC7646" w:rsidRDefault="00FD6333" w:rsidP="00FD6333">
      <w:pPr>
        <w:jc w:val="both"/>
        <w:rPr>
          <w:rFonts w:cstheme="minorHAnsi"/>
          <w:sz w:val="23"/>
          <w:szCs w:val="23"/>
        </w:rPr>
      </w:pPr>
      <w:r w:rsidRPr="00EC7646">
        <w:rPr>
          <w:rFonts w:cstheme="minorHAnsi"/>
          <w:sz w:val="23"/>
          <w:szCs w:val="23"/>
        </w:rPr>
        <w:t xml:space="preserve">En el marco de los procesos tarifarios regulares </w:t>
      </w:r>
      <w:r>
        <w:rPr>
          <w:rFonts w:cstheme="minorHAnsi"/>
          <w:sz w:val="23"/>
          <w:szCs w:val="23"/>
        </w:rPr>
        <w:t>desarrollados</w:t>
      </w:r>
      <w:r w:rsidRPr="00EC7646">
        <w:rPr>
          <w:rFonts w:cstheme="minorHAnsi"/>
          <w:sz w:val="23"/>
          <w:szCs w:val="23"/>
        </w:rPr>
        <w:t xml:space="preserve"> por la CNE, durante </w:t>
      </w:r>
      <w:r>
        <w:rPr>
          <w:rFonts w:cstheme="minorHAnsi"/>
          <w:sz w:val="23"/>
          <w:szCs w:val="23"/>
        </w:rPr>
        <w:t>este</w:t>
      </w:r>
      <w:r w:rsidRPr="00EC7646">
        <w:rPr>
          <w:rFonts w:cstheme="minorHAnsi"/>
          <w:sz w:val="23"/>
          <w:szCs w:val="23"/>
        </w:rPr>
        <w:t xml:space="preserve"> períod</w:t>
      </w:r>
      <w:r>
        <w:rPr>
          <w:rFonts w:cstheme="minorHAnsi"/>
          <w:sz w:val="23"/>
          <w:szCs w:val="23"/>
        </w:rPr>
        <w:t>o</w:t>
      </w:r>
      <w:r w:rsidRPr="00EC7646">
        <w:rPr>
          <w:rFonts w:cstheme="minorHAnsi"/>
          <w:sz w:val="23"/>
          <w:szCs w:val="23"/>
        </w:rPr>
        <w:t xml:space="preserve"> fueron publicados:</w:t>
      </w:r>
    </w:p>
    <w:p w14:paraId="11124FD6" w14:textId="77777777" w:rsidR="00FD6333" w:rsidRDefault="00FD6333" w:rsidP="00FD6333">
      <w:pPr>
        <w:pStyle w:val="Prrafodelista"/>
        <w:numPr>
          <w:ilvl w:val="0"/>
          <w:numId w:val="3"/>
        </w:numPr>
        <w:jc w:val="both"/>
        <w:rPr>
          <w:rFonts w:cstheme="minorHAnsi"/>
          <w:sz w:val="23"/>
          <w:szCs w:val="23"/>
        </w:rPr>
      </w:pPr>
      <w:r w:rsidRPr="00EC7646">
        <w:rPr>
          <w:rFonts w:cstheme="minorHAnsi"/>
          <w:sz w:val="23"/>
          <w:szCs w:val="23"/>
        </w:rPr>
        <w:t xml:space="preserve">El “Informe Técnico Definitivo de Fijación de Precios de Nudo de Corto Plazo del Sistema Eléctrico Nacional” correspondientes al </w:t>
      </w:r>
      <w:r>
        <w:rPr>
          <w:rFonts w:cstheme="minorHAnsi"/>
          <w:sz w:val="23"/>
          <w:szCs w:val="23"/>
        </w:rPr>
        <w:t>1°</w:t>
      </w:r>
      <w:r w:rsidRPr="00EC7646">
        <w:rPr>
          <w:rFonts w:cstheme="minorHAnsi"/>
          <w:sz w:val="23"/>
          <w:szCs w:val="23"/>
        </w:rPr>
        <w:t xml:space="preserve"> y </w:t>
      </w:r>
      <w:r>
        <w:rPr>
          <w:rFonts w:cstheme="minorHAnsi"/>
          <w:sz w:val="23"/>
          <w:szCs w:val="23"/>
        </w:rPr>
        <w:t>2°</w:t>
      </w:r>
      <w:r w:rsidRPr="00EC7646">
        <w:rPr>
          <w:rFonts w:cstheme="minorHAnsi"/>
          <w:sz w:val="23"/>
          <w:szCs w:val="23"/>
        </w:rPr>
        <w:t xml:space="preserve"> semestre de cada año.</w:t>
      </w:r>
    </w:p>
    <w:p w14:paraId="068D8243" w14:textId="77777777" w:rsidR="00FD6333" w:rsidRPr="00EC7646" w:rsidRDefault="00FD6333" w:rsidP="00FD6333">
      <w:pPr>
        <w:pStyle w:val="Prrafodelista"/>
        <w:jc w:val="both"/>
        <w:rPr>
          <w:rFonts w:cstheme="minorHAnsi"/>
          <w:sz w:val="23"/>
          <w:szCs w:val="23"/>
        </w:rPr>
      </w:pPr>
    </w:p>
    <w:p w14:paraId="7DCAFCAF" w14:textId="77777777" w:rsidR="00FD6333" w:rsidRPr="00112901" w:rsidRDefault="00FD6333" w:rsidP="00FD6333">
      <w:pPr>
        <w:pStyle w:val="Prrafodelista"/>
        <w:numPr>
          <w:ilvl w:val="0"/>
          <w:numId w:val="3"/>
        </w:numPr>
        <w:ind w:left="708"/>
        <w:jc w:val="both"/>
        <w:rPr>
          <w:rFonts w:cstheme="minorHAnsi"/>
          <w:sz w:val="23"/>
          <w:szCs w:val="23"/>
        </w:rPr>
      </w:pPr>
      <w:r w:rsidRPr="00112901">
        <w:rPr>
          <w:rFonts w:cstheme="minorHAnsi"/>
          <w:sz w:val="23"/>
          <w:szCs w:val="23"/>
        </w:rPr>
        <w:t xml:space="preserve">El “Informe Técnico Definitivo de Fijación de Precios de Nudo Promedio del Sistema Eléctrico Nacional y de Ajuste y Recargos por Aplicación del Mecanismo de Equidad Tarifaria Residencial” correspondientes al </w:t>
      </w:r>
      <w:r>
        <w:rPr>
          <w:rFonts w:cstheme="minorHAnsi"/>
          <w:sz w:val="23"/>
          <w:szCs w:val="23"/>
        </w:rPr>
        <w:t>1°</w:t>
      </w:r>
      <w:r w:rsidRPr="00112901">
        <w:rPr>
          <w:rFonts w:cstheme="minorHAnsi"/>
          <w:sz w:val="23"/>
          <w:szCs w:val="23"/>
        </w:rPr>
        <w:t xml:space="preserve"> y </w:t>
      </w:r>
      <w:r>
        <w:rPr>
          <w:rFonts w:cstheme="minorHAnsi"/>
          <w:sz w:val="23"/>
          <w:szCs w:val="23"/>
        </w:rPr>
        <w:t>2°</w:t>
      </w:r>
      <w:r w:rsidRPr="00112901">
        <w:rPr>
          <w:rFonts w:cstheme="minorHAnsi"/>
          <w:sz w:val="23"/>
          <w:szCs w:val="23"/>
        </w:rPr>
        <w:t xml:space="preserve"> semestre de cada año. No obstante, los</w:t>
      </w:r>
      <w:r w:rsidRPr="00112901">
        <w:rPr>
          <w:rFonts w:eastAsia="Times New Roman" w:cstheme="minorHAnsi"/>
          <w:sz w:val="23"/>
          <w:szCs w:val="23"/>
          <w:lang w:eastAsia="es-CL"/>
        </w:rPr>
        <w:t xml:space="preserve"> niveles de precios establecidos en el referido informe fueron derogados con la vigencia de la Ley N°21.185 publicada en noviembre de 2019, la cual crea un mecanismo transitorio de estabilización de precios de la energía eléctrica para clientes sujetos a regulación de tarifas.</w:t>
      </w:r>
    </w:p>
    <w:p w14:paraId="63DD3851" w14:textId="293ABCCE" w:rsidR="007665BE" w:rsidRPr="00EC7646" w:rsidRDefault="007665BE" w:rsidP="000A21DC">
      <w:pPr>
        <w:jc w:val="both"/>
        <w:rPr>
          <w:rFonts w:cstheme="minorHAnsi"/>
          <w:sz w:val="23"/>
          <w:szCs w:val="23"/>
        </w:rPr>
      </w:pPr>
      <w:r w:rsidRPr="00EC7646">
        <w:rPr>
          <w:rFonts w:cstheme="minorHAnsi"/>
          <w:sz w:val="23"/>
          <w:szCs w:val="23"/>
        </w:rPr>
        <w:t xml:space="preserve">En el ámbito del servicio concesionado de distribución, en marzo de 2018 se aprobó mediante un nuevo informe técnico “Actualización de Fórmulas Tarifarias para Concesionarias de Servicio Público de Distribución”, en atención a recoger las inversiones y costos necesarios para el cumplimiento de las exigencias establecidas en la Norma Técnica de Calidad de Servicio para Sistemas de Distribución y que no fueron incluidas en el Valor Agregado de Distribución, </w:t>
      </w:r>
      <w:r w:rsidRPr="00DC5EEC">
        <w:rPr>
          <w:rFonts w:cstheme="minorHAnsi"/>
          <w:sz w:val="23"/>
          <w:szCs w:val="23"/>
        </w:rPr>
        <w:lastRenderedPageBreak/>
        <w:t xml:space="preserve">correspondiente al cuatrienio noviembre 2016 – noviembre 2020, el cual fue utilizado para las tarifas de suministro de electricidad fijadas en el Decreto Supremo N°11T del año 2016. La actualización de costos se enmarca en lo establecido en el Artículo 187° de La Ley General de Servicios Eléctricos, bajo el cual las empresas concesionarias del servicio público de distribución y la </w:t>
      </w:r>
      <w:r w:rsidR="00266424" w:rsidRPr="00DC5EEC">
        <w:rPr>
          <w:rFonts w:cstheme="minorHAnsi"/>
          <w:sz w:val="23"/>
          <w:szCs w:val="23"/>
        </w:rPr>
        <w:t xml:space="preserve">CNE </w:t>
      </w:r>
      <w:r w:rsidRPr="00DC5EEC">
        <w:rPr>
          <w:rFonts w:cstheme="minorHAnsi"/>
          <w:sz w:val="23"/>
          <w:szCs w:val="23"/>
        </w:rPr>
        <w:t>suscribieron un acuerdo unánime para efectuar un nuevo estudio de tarifas.</w:t>
      </w:r>
      <w:r w:rsidRPr="00EC7646">
        <w:rPr>
          <w:rFonts w:cstheme="minorHAnsi"/>
          <w:sz w:val="23"/>
          <w:szCs w:val="23"/>
        </w:rPr>
        <w:t xml:space="preserve"> </w:t>
      </w:r>
    </w:p>
    <w:p w14:paraId="772DBEB3" w14:textId="4B08B7A9" w:rsidR="007665BE" w:rsidRPr="00EC7646" w:rsidRDefault="007665BE" w:rsidP="000A21DC">
      <w:pPr>
        <w:jc w:val="both"/>
        <w:rPr>
          <w:rFonts w:cstheme="minorHAnsi"/>
          <w:sz w:val="23"/>
          <w:szCs w:val="23"/>
        </w:rPr>
      </w:pPr>
      <w:r w:rsidRPr="00EC7646">
        <w:rPr>
          <w:rFonts w:cstheme="minorHAnsi"/>
          <w:sz w:val="23"/>
          <w:szCs w:val="23"/>
        </w:rPr>
        <w:t xml:space="preserve">En el ámbito de la tarificación del segmento de distribución, durante junio de 2020, se aprobaron las Bases Técnicas Definitivas para el “Cálculo de las Componentes del Valor Agregado de Distribución, Cuatrienio noviembre 2020-2024” y del “Estudio de Costos de los Servicios Asociados a Suministro de Electricidad de Distribución”, incorporando por primera vez los preceptos de la Ley N°21.194 que rebaja la rentabilidad de las empresas de distribución y perfecciona el proceso tarifario de distribución eléctrica. </w:t>
      </w:r>
    </w:p>
    <w:p w14:paraId="59AB3DAE" w14:textId="396B88EB" w:rsidR="00521188" w:rsidRPr="00EC7646" w:rsidRDefault="00DC5EEC" w:rsidP="000A21DC">
      <w:pPr>
        <w:jc w:val="both"/>
        <w:rPr>
          <w:rFonts w:cstheme="minorHAnsi"/>
          <w:sz w:val="23"/>
          <w:szCs w:val="23"/>
        </w:rPr>
      </w:pPr>
      <w:r>
        <w:rPr>
          <w:rFonts w:cstheme="minorHAnsi"/>
          <w:sz w:val="23"/>
          <w:szCs w:val="23"/>
        </w:rPr>
        <w:t>Por otra parte</w:t>
      </w:r>
      <w:r w:rsidR="00521188" w:rsidRPr="00EC7646">
        <w:rPr>
          <w:rFonts w:cstheme="minorHAnsi"/>
          <w:sz w:val="23"/>
          <w:szCs w:val="23"/>
        </w:rPr>
        <w:t xml:space="preserve">, en virtud del Decreto N°88 del 2020 del Ministerio de Energía, a contar del año 2021, la </w:t>
      </w:r>
      <w:r w:rsidR="00C412D2" w:rsidRPr="00EC7646">
        <w:rPr>
          <w:rFonts w:cstheme="minorHAnsi"/>
          <w:sz w:val="23"/>
          <w:szCs w:val="23"/>
        </w:rPr>
        <w:t>CNE</w:t>
      </w:r>
      <w:r w:rsidR="00521188" w:rsidRPr="00EC7646">
        <w:rPr>
          <w:rFonts w:cstheme="minorHAnsi"/>
          <w:sz w:val="23"/>
          <w:szCs w:val="23"/>
        </w:rPr>
        <w:t xml:space="preserve"> incorpora como parte de sus procesos tarifarios regulares, la elaboración del Informe Técnico de Precios Estabilizados.</w:t>
      </w:r>
    </w:p>
    <w:p w14:paraId="059D5447" w14:textId="3532E2E9" w:rsidR="001C1758" w:rsidRDefault="001C1758" w:rsidP="00482EB0">
      <w:pPr>
        <w:pStyle w:val="Prrafodelista"/>
        <w:spacing w:before="100" w:beforeAutospacing="1" w:after="100" w:afterAutospacing="1" w:line="240" w:lineRule="auto"/>
        <w:ind w:left="0"/>
        <w:jc w:val="both"/>
        <w:rPr>
          <w:rFonts w:eastAsia="Times New Roman" w:cstheme="minorHAnsi"/>
          <w:b/>
          <w:bCs/>
          <w:sz w:val="24"/>
          <w:szCs w:val="24"/>
          <w:lang w:eastAsia="es-CL"/>
        </w:rPr>
      </w:pPr>
      <w:r w:rsidRPr="0002734E">
        <w:rPr>
          <w:rFonts w:eastAsia="Times New Roman" w:cstheme="minorHAnsi"/>
          <w:b/>
          <w:bCs/>
          <w:sz w:val="24"/>
          <w:szCs w:val="24"/>
          <w:lang w:eastAsia="es-CL"/>
        </w:rPr>
        <w:t>En el ámbito de Determinación de Nivel, Estructura y Estabilidad de Precios de los</w:t>
      </w:r>
      <w:r w:rsidR="00482EB0">
        <w:rPr>
          <w:rFonts w:eastAsia="Times New Roman" w:cstheme="minorHAnsi"/>
          <w:b/>
          <w:bCs/>
          <w:sz w:val="24"/>
          <w:szCs w:val="24"/>
          <w:lang w:eastAsia="es-CL"/>
        </w:rPr>
        <w:t xml:space="preserve"> </w:t>
      </w:r>
      <w:r w:rsidRPr="0002734E">
        <w:rPr>
          <w:rFonts w:eastAsia="Times New Roman" w:cstheme="minorHAnsi"/>
          <w:b/>
          <w:bCs/>
          <w:sz w:val="24"/>
          <w:szCs w:val="24"/>
          <w:lang w:eastAsia="es-CL"/>
        </w:rPr>
        <w:t xml:space="preserve">combustibles </w:t>
      </w:r>
    </w:p>
    <w:p w14:paraId="23C1E65B" w14:textId="77777777" w:rsidR="001C1758" w:rsidRDefault="001C1758" w:rsidP="001C1758">
      <w:pPr>
        <w:pStyle w:val="Prrafodelista"/>
        <w:spacing w:before="100" w:beforeAutospacing="1" w:after="100" w:afterAutospacing="1" w:line="240" w:lineRule="auto"/>
        <w:ind w:left="360" w:hanging="360"/>
        <w:jc w:val="both"/>
        <w:rPr>
          <w:rFonts w:eastAsia="Times New Roman" w:cstheme="minorHAnsi"/>
          <w:b/>
          <w:bCs/>
          <w:sz w:val="24"/>
          <w:szCs w:val="24"/>
          <w:lang w:eastAsia="es-CL"/>
        </w:rPr>
      </w:pPr>
    </w:p>
    <w:p w14:paraId="28FA113F" w14:textId="62DA649C" w:rsidR="001C1758" w:rsidRDefault="001C1758" w:rsidP="001C1758">
      <w:pPr>
        <w:jc w:val="both"/>
        <w:rPr>
          <w:rFonts w:eastAsia="Times New Roman" w:cstheme="minorHAnsi"/>
          <w:sz w:val="24"/>
          <w:szCs w:val="24"/>
          <w:lang w:eastAsia="es-CL"/>
        </w:rPr>
      </w:pPr>
      <w:r>
        <w:rPr>
          <w:rFonts w:eastAsia="Times New Roman" w:cstheme="minorHAnsi"/>
          <w:sz w:val="24"/>
          <w:szCs w:val="24"/>
          <w:lang w:eastAsia="es-CL"/>
        </w:rPr>
        <w:t xml:space="preserve">Desde su creación en el año 2013 el </w:t>
      </w:r>
      <w:r w:rsidR="002F6E26">
        <w:rPr>
          <w:rFonts w:eastAsia="Times New Roman" w:cstheme="minorHAnsi"/>
          <w:sz w:val="24"/>
          <w:szCs w:val="24"/>
          <w:lang w:eastAsia="es-CL"/>
        </w:rPr>
        <w:t>A</w:t>
      </w:r>
      <w:r>
        <w:rPr>
          <w:rFonts w:eastAsia="Times New Roman" w:cstheme="minorHAnsi"/>
          <w:sz w:val="24"/>
          <w:szCs w:val="24"/>
          <w:lang w:eastAsia="es-CL"/>
        </w:rPr>
        <w:t xml:space="preserve">porte </w:t>
      </w:r>
      <w:r w:rsidR="002F6E26">
        <w:rPr>
          <w:rFonts w:eastAsia="Times New Roman" w:cstheme="minorHAnsi"/>
          <w:sz w:val="24"/>
          <w:szCs w:val="24"/>
          <w:lang w:eastAsia="es-CL"/>
        </w:rPr>
        <w:t>C</w:t>
      </w:r>
      <w:r>
        <w:rPr>
          <w:rFonts w:eastAsia="Times New Roman" w:cstheme="minorHAnsi"/>
          <w:sz w:val="24"/>
          <w:szCs w:val="24"/>
          <w:lang w:eastAsia="es-CL"/>
        </w:rPr>
        <w:t xml:space="preserve">ompensatorio por el </w:t>
      </w:r>
      <w:r w:rsidR="002F6E26">
        <w:rPr>
          <w:rFonts w:eastAsia="Times New Roman" w:cstheme="minorHAnsi"/>
          <w:sz w:val="24"/>
          <w:szCs w:val="24"/>
          <w:lang w:eastAsia="es-CL"/>
        </w:rPr>
        <w:t>M</w:t>
      </w:r>
      <w:r>
        <w:rPr>
          <w:rFonts w:eastAsia="Times New Roman" w:cstheme="minorHAnsi"/>
          <w:sz w:val="24"/>
          <w:szCs w:val="24"/>
          <w:lang w:eastAsia="es-CL"/>
        </w:rPr>
        <w:t xml:space="preserve">enor </w:t>
      </w:r>
      <w:r w:rsidR="002F6E26">
        <w:rPr>
          <w:rFonts w:eastAsia="Times New Roman" w:cstheme="minorHAnsi"/>
          <w:sz w:val="24"/>
          <w:szCs w:val="24"/>
          <w:lang w:eastAsia="es-CL"/>
        </w:rPr>
        <w:t>V</w:t>
      </w:r>
      <w:r>
        <w:rPr>
          <w:rFonts w:eastAsia="Times New Roman" w:cstheme="minorHAnsi"/>
          <w:sz w:val="24"/>
          <w:szCs w:val="24"/>
          <w:lang w:eastAsia="es-CL"/>
        </w:rPr>
        <w:t xml:space="preserve">alor del </w:t>
      </w:r>
      <w:r w:rsidR="002F6E26">
        <w:rPr>
          <w:rFonts w:eastAsia="Times New Roman" w:cstheme="minorHAnsi"/>
          <w:sz w:val="24"/>
          <w:szCs w:val="24"/>
          <w:lang w:eastAsia="es-CL"/>
        </w:rPr>
        <w:t>P</w:t>
      </w:r>
      <w:r>
        <w:rPr>
          <w:rFonts w:eastAsia="Times New Roman" w:cstheme="minorHAnsi"/>
          <w:sz w:val="24"/>
          <w:szCs w:val="24"/>
          <w:lang w:eastAsia="es-CL"/>
        </w:rPr>
        <w:t xml:space="preserve">recio de </w:t>
      </w:r>
      <w:r w:rsidR="002F6E26">
        <w:rPr>
          <w:rFonts w:eastAsia="Times New Roman" w:cstheme="minorHAnsi"/>
          <w:sz w:val="24"/>
          <w:szCs w:val="24"/>
          <w:lang w:eastAsia="es-CL"/>
        </w:rPr>
        <w:t>G</w:t>
      </w:r>
      <w:r>
        <w:rPr>
          <w:rFonts w:eastAsia="Times New Roman" w:cstheme="minorHAnsi"/>
          <w:sz w:val="24"/>
          <w:szCs w:val="24"/>
          <w:lang w:eastAsia="es-CL"/>
        </w:rPr>
        <w:t xml:space="preserve">as que vende </w:t>
      </w:r>
      <w:r w:rsidR="002F6E26">
        <w:rPr>
          <w:rFonts w:eastAsia="Times New Roman" w:cstheme="minorHAnsi"/>
          <w:sz w:val="24"/>
          <w:szCs w:val="24"/>
          <w:lang w:eastAsia="es-CL"/>
        </w:rPr>
        <w:t>ENAP</w:t>
      </w:r>
      <w:r>
        <w:rPr>
          <w:rFonts w:eastAsia="Times New Roman" w:cstheme="minorHAnsi"/>
          <w:sz w:val="24"/>
          <w:szCs w:val="24"/>
          <w:lang w:eastAsia="es-CL"/>
        </w:rPr>
        <w:t xml:space="preserve"> en Magallanes</w:t>
      </w:r>
      <w:r w:rsidR="002F6E26">
        <w:rPr>
          <w:rFonts w:eastAsia="Times New Roman" w:cstheme="minorHAnsi"/>
          <w:sz w:val="24"/>
          <w:szCs w:val="24"/>
          <w:lang w:eastAsia="es-CL"/>
        </w:rPr>
        <w:t>,</w:t>
      </w:r>
      <w:r>
        <w:rPr>
          <w:rFonts w:eastAsia="Times New Roman" w:cstheme="minorHAnsi"/>
          <w:sz w:val="24"/>
          <w:szCs w:val="24"/>
          <w:lang w:eastAsia="es-CL"/>
        </w:rPr>
        <w:t xml:space="preserve"> establecido anualmente en la Ley de presupuesto ha permitido no incrementar sustancialmente los precios del gas en Magallanes, combustible esencial para la vida y el desarrollo de la región.</w:t>
      </w:r>
    </w:p>
    <w:p w14:paraId="1C745FD3" w14:textId="489CD3E7" w:rsidR="001C1758" w:rsidRDefault="001C1758" w:rsidP="001C1758">
      <w:pPr>
        <w:jc w:val="both"/>
        <w:rPr>
          <w:rFonts w:eastAsia="Times New Roman" w:cstheme="minorHAnsi"/>
          <w:sz w:val="24"/>
          <w:szCs w:val="24"/>
          <w:lang w:eastAsia="es-CL"/>
        </w:rPr>
      </w:pPr>
      <w:r>
        <w:rPr>
          <w:rFonts w:eastAsia="Times New Roman" w:cstheme="minorHAnsi"/>
          <w:sz w:val="24"/>
          <w:szCs w:val="24"/>
          <w:lang w:eastAsia="es-CL"/>
        </w:rPr>
        <w:t xml:space="preserve">En el periodo 2018 – 2021 el Estado a través de la Ley de Presupuesto </w:t>
      </w:r>
      <w:r w:rsidR="00EB7228">
        <w:rPr>
          <w:rFonts w:eastAsia="Times New Roman" w:cstheme="minorHAnsi"/>
          <w:sz w:val="24"/>
          <w:szCs w:val="24"/>
          <w:lang w:eastAsia="es-CL"/>
        </w:rPr>
        <w:t>estableció</w:t>
      </w:r>
      <w:r>
        <w:rPr>
          <w:rFonts w:eastAsia="Times New Roman" w:cstheme="minorHAnsi"/>
          <w:sz w:val="24"/>
          <w:szCs w:val="24"/>
          <w:lang w:eastAsia="es-CL"/>
        </w:rPr>
        <w:t xml:space="preserve"> un monto total de Aporte Compensatorio de 230,79 miles de millones de pesos.</w:t>
      </w:r>
    </w:p>
    <w:p w14:paraId="7A9C499C" w14:textId="77777777" w:rsidR="002F6E26" w:rsidRDefault="001C1758" w:rsidP="001C1758">
      <w:pPr>
        <w:jc w:val="both"/>
        <w:rPr>
          <w:rFonts w:eastAsia="Times New Roman" w:cstheme="minorHAnsi"/>
          <w:sz w:val="24"/>
          <w:szCs w:val="24"/>
          <w:lang w:eastAsia="es-CL"/>
        </w:rPr>
      </w:pPr>
      <w:r>
        <w:rPr>
          <w:rFonts w:eastAsia="Times New Roman" w:cstheme="minorHAnsi"/>
          <w:sz w:val="24"/>
          <w:szCs w:val="24"/>
          <w:lang w:eastAsia="es-CL"/>
        </w:rPr>
        <w:t>Al respecto la Comisión, por expresa instrucción de la Ley de Presupuestos ha debido para cada año en cuestión establecer mediante Resolución</w:t>
      </w:r>
      <w:r w:rsidR="002F6E26">
        <w:rPr>
          <w:rFonts w:eastAsia="Times New Roman" w:cstheme="minorHAnsi"/>
          <w:sz w:val="24"/>
          <w:szCs w:val="24"/>
          <w:lang w:eastAsia="es-CL"/>
        </w:rPr>
        <w:t xml:space="preserve">, la que debe ser visada por la Dirección de Presupuestos, </w:t>
      </w:r>
      <w:r>
        <w:rPr>
          <w:rFonts w:eastAsia="Times New Roman" w:cstheme="minorHAnsi"/>
          <w:sz w:val="24"/>
          <w:szCs w:val="24"/>
          <w:lang w:eastAsia="es-CL"/>
        </w:rPr>
        <w:t xml:space="preserve">el Costo Unitario de Producción de </w:t>
      </w:r>
      <w:r w:rsidR="002F6E26">
        <w:rPr>
          <w:rFonts w:eastAsia="Times New Roman" w:cstheme="minorHAnsi"/>
          <w:sz w:val="24"/>
          <w:szCs w:val="24"/>
          <w:lang w:eastAsia="es-CL"/>
        </w:rPr>
        <w:t>ENAP</w:t>
      </w:r>
      <w:r>
        <w:rPr>
          <w:rFonts w:eastAsia="Times New Roman" w:cstheme="minorHAnsi"/>
          <w:sz w:val="24"/>
          <w:szCs w:val="24"/>
          <w:lang w:eastAsia="es-CL"/>
        </w:rPr>
        <w:t xml:space="preserve"> y la metodología que debe ceñirse el </w:t>
      </w:r>
      <w:r w:rsidR="00482EB0">
        <w:rPr>
          <w:rFonts w:eastAsia="Times New Roman" w:cstheme="minorHAnsi"/>
          <w:sz w:val="24"/>
          <w:szCs w:val="24"/>
          <w:lang w:eastAsia="es-CL"/>
        </w:rPr>
        <w:t>cálculo</w:t>
      </w:r>
      <w:r>
        <w:rPr>
          <w:rFonts w:eastAsia="Times New Roman" w:cstheme="minorHAnsi"/>
          <w:sz w:val="24"/>
          <w:szCs w:val="24"/>
          <w:lang w:eastAsia="es-CL"/>
        </w:rPr>
        <w:t xml:space="preserve"> del Aporte Compensatorio mensual</w:t>
      </w:r>
      <w:r w:rsidR="002F6E26">
        <w:rPr>
          <w:rFonts w:eastAsia="Times New Roman" w:cstheme="minorHAnsi"/>
          <w:sz w:val="24"/>
          <w:szCs w:val="24"/>
          <w:lang w:eastAsia="es-CL"/>
        </w:rPr>
        <w:t>.</w:t>
      </w:r>
    </w:p>
    <w:p w14:paraId="35B2ECCB" w14:textId="112F85D6" w:rsidR="001C1758" w:rsidRDefault="001C1758" w:rsidP="001C1758">
      <w:pPr>
        <w:jc w:val="both"/>
        <w:rPr>
          <w:rFonts w:eastAsia="Times New Roman" w:cstheme="minorHAnsi"/>
          <w:sz w:val="24"/>
          <w:szCs w:val="24"/>
          <w:lang w:eastAsia="es-CL"/>
        </w:rPr>
      </w:pPr>
      <w:r>
        <w:rPr>
          <w:rFonts w:eastAsia="Times New Roman" w:cstheme="minorHAnsi"/>
          <w:sz w:val="24"/>
          <w:szCs w:val="24"/>
          <w:lang w:eastAsia="es-CL"/>
        </w:rPr>
        <w:t xml:space="preserve">Para ello la </w:t>
      </w:r>
      <w:r w:rsidR="00EB7228">
        <w:rPr>
          <w:rFonts w:eastAsia="Times New Roman" w:cstheme="minorHAnsi"/>
          <w:sz w:val="24"/>
          <w:szCs w:val="24"/>
          <w:lang w:eastAsia="es-CL"/>
        </w:rPr>
        <w:t>CNE</w:t>
      </w:r>
      <w:r>
        <w:rPr>
          <w:rFonts w:eastAsia="Times New Roman" w:cstheme="minorHAnsi"/>
          <w:sz w:val="24"/>
          <w:szCs w:val="24"/>
          <w:lang w:eastAsia="es-CL"/>
        </w:rPr>
        <w:t xml:space="preserve"> estableció un total de seis actos administrativos, cuatro corresponden al establecimiento del CUP y la metodología del Aporte compensatorio mensual en el mes de enero de cada año y los dos restantes a modificaciones interanuales en el Costo Unitario de Producción con ocasión de información relevante que ameritó algún tipo de cambio en ese valor o la forma de determinarlo, con el fin de precaver el mejor uso de los recursos fiscales.</w:t>
      </w:r>
    </w:p>
    <w:p w14:paraId="2C32F18D" w14:textId="77777777" w:rsidR="001C1758" w:rsidRDefault="001C1758" w:rsidP="001C1758">
      <w:pPr>
        <w:jc w:val="both"/>
        <w:rPr>
          <w:rFonts w:eastAsia="Times New Roman" w:cstheme="minorHAnsi"/>
          <w:sz w:val="24"/>
          <w:szCs w:val="24"/>
          <w:lang w:eastAsia="es-CL"/>
        </w:rPr>
      </w:pPr>
    </w:p>
    <w:p w14:paraId="201A050C" w14:textId="349CA9ED" w:rsidR="001C1758" w:rsidRDefault="00EB7228" w:rsidP="001C1758">
      <w:pPr>
        <w:jc w:val="both"/>
        <w:rPr>
          <w:rFonts w:eastAsia="Times New Roman" w:cstheme="minorHAnsi"/>
          <w:sz w:val="24"/>
          <w:szCs w:val="24"/>
          <w:lang w:eastAsia="es-CL"/>
        </w:rPr>
      </w:pPr>
      <w:r>
        <w:rPr>
          <w:rFonts w:eastAsia="Times New Roman" w:cstheme="minorHAnsi"/>
          <w:sz w:val="24"/>
          <w:szCs w:val="24"/>
          <w:lang w:eastAsia="es-CL"/>
        </w:rPr>
        <w:t>Por su parte, e</w:t>
      </w:r>
      <w:r w:rsidR="001C1758" w:rsidRPr="008B097F">
        <w:rPr>
          <w:rFonts w:eastAsia="Times New Roman" w:cstheme="minorHAnsi"/>
          <w:sz w:val="24"/>
          <w:szCs w:val="24"/>
          <w:lang w:eastAsia="es-CL"/>
        </w:rPr>
        <w:t xml:space="preserve">l </w:t>
      </w:r>
      <w:r w:rsidRPr="008B097F">
        <w:rPr>
          <w:rFonts w:eastAsia="Times New Roman" w:cstheme="minorHAnsi"/>
          <w:sz w:val="24"/>
          <w:szCs w:val="24"/>
          <w:lang w:eastAsia="es-CL"/>
        </w:rPr>
        <w:t xml:space="preserve">Proceso </w:t>
      </w:r>
      <w:r>
        <w:rPr>
          <w:rFonts w:eastAsia="Times New Roman" w:cstheme="minorHAnsi"/>
          <w:sz w:val="24"/>
          <w:szCs w:val="24"/>
          <w:lang w:eastAsia="es-CL"/>
        </w:rPr>
        <w:t>d</w:t>
      </w:r>
      <w:r w:rsidRPr="008B097F">
        <w:rPr>
          <w:rFonts w:eastAsia="Times New Roman" w:cstheme="minorHAnsi"/>
          <w:sz w:val="24"/>
          <w:szCs w:val="24"/>
          <w:lang w:eastAsia="es-CL"/>
        </w:rPr>
        <w:t xml:space="preserve">e Tarificación </w:t>
      </w:r>
      <w:r>
        <w:rPr>
          <w:rFonts w:eastAsia="Times New Roman" w:cstheme="minorHAnsi"/>
          <w:sz w:val="24"/>
          <w:szCs w:val="24"/>
          <w:lang w:eastAsia="es-CL"/>
        </w:rPr>
        <w:t>d</w:t>
      </w:r>
      <w:r w:rsidRPr="008B097F">
        <w:rPr>
          <w:rFonts w:eastAsia="Times New Roman" w:cstheme="minorHAnsi"/>
          <w:sz w:val="24"/>
          <w:szCs w:val="24"/>
          <w:lang w:eastAsia="es-CL"/>
        </w:rPr>
        <w:t xml:space="preserve">el </w:t>
      </w:r>
      <w:r w:rsidR="001C1758" w:rsidRPr="008B097F">
        <w:rPr>
          <w:rFonts w:eastAsia="Times New Roman" w:cstheme="minorHAnsi"/>
          <w:sz w:val="24"/>
          <w:szCs w:val="24"/>
          <w:lang w:eastAsia="es-CL"/>
        </w:rPr>
        <w:t xml:space="preserve">Valor Agregado </w:t>
      </w:r>
      <w:r>
        <w:rPr>
          <w:rFonts w:eastAsia="Times New Roman" w:cstheme="minorHAnsi"/>
          <w:sz w:val="24"/>
          <w:szCs w:val="24"/>
          <w:lang w:eastAsia="es-CL"/>
        </w:rPr>
        <w:t>d</w:t>
      </w:r>
      <w:r w:rsidRPr="008B097F">
        <w:rPr>
          <w:rFonts w:eastAsia="Times New Roman" w:cstheme="minorHAnsi"/>
          <w:sz w:val="24"/>
          <w:szCs w:val="24"/>
          <w:lang w:eastAsia="es-CL"/>
        </w:rPr>
        <w:t xml:space="preserve">e </w:t>
      </w:r>
      <w:r w:rsidR="001C1758" w:rsidRPr="008B097F">
        <w:rPr>
          <w:rFonts w:eastAsia="Times New Roman" w:cstheme="minorHAnsi"/>
          <w:sz w:val="24"/>
          <w:szCs w:val="24"/>
          <w:lang w:eastAsia="es-CL"/>
        </w:rPr>
        <w:t xml:space="preserve">Distribución </w:t>
      </w:r>
      <w:r>
        <w:rPr>
          <w:rFonts w:eastAsia="Times New Roman" w:cstheme="minorHAnsi"/>
          <w:sz w:val="24"/>
          <w:szCs w:val="24"/>
          <w:lang w:eastAsia="es-CL"/>
        </w:rPr>
        <w:t>d</w:t>
      </w:r>
      <w:r w:rsidRPr="008B097F">
        <w:rPr>
          <w:rFonts w:eastAsia="Times New Roman" w:cstheme="minorHAnsi"/>
          <w:sz w:val="24"/>
          <w:szCs w:val="24"/>
          <w:lang w:eastAsia="es-CL"/>
        </w:rPr>
        <w:t xml:space="preserve">el Gas </w:t>
      </w:r>
      <w:r>
        <w:rPr>
          <w:rFonts w:eastAsia="Times New Roman" w:cstheme="minorHAnsi"/>
          <w:sz w:val="24"/>
          <w:szCs w:val="24"/>
          <w:lang w:eastAsia="es-CL"/>
        </w:rPr>
        <w:t>y</w:t>
      </w:r>
      <w:r w:rsidRPr="008B097F">
        <w:rPr>
          <w:rFonts w:eastAsia="Times New Roman" w:cstheme="minorHAnsi"/>
          <w:sz w:val="24"/>
          <w:szCs w:val="24"/>
          <w:lang w:eastAsia="es-CL"/>
        </w:rPr>
        <w:t xml:space="preserve"> Servicios Afines </w:t>
      </w:r>
      <w:r>
        <w:rPr>
          <w:rFonts w:eastAsia="Times New Roman" w:cstheme="minorHAnsi"/>
          <w:sz w:val="24"/>
          <w:szCs w:val="24"/>
          <w:lang w:eastAsia="es-CL"/>
        </w:rPr>
        <w:t>p</w:t>
      </w:r>
      <w:r w:rsidRPr="008B097F">
        <w:rPr>
          <w:rFonts w:eastAsia="Times New Roman" w:cstheme="minorHAnsi"/>
          <w:sz w:val="24"/>
          <w:szCs w:val="24"/>
          <w:lang w:eastAsia="es-CL"/>
        </w:rPr>
        <w:t xml:space="preserve">ara </w:t>
      </w:r>
      <w:r>
        <w:rPr>
          <w:rFonts w:eastAsia="Times New Roman" w:cstheme="minorHAnsi"/>
          <w:sz w:val="24"/>
          <w:szCs w:val="24"/>
          <w:lang w:eastAsia="es-CL"/>
        </w:rPr>
        <w:t>l</w:t>
      </w:r>
      <w:r w:rsidRPr="008B097F">
        <w:rPr>
          <w:rFonts w:eastAsia="Times New Roman" w:cstheme="minorHAnsi"/>
          <w:sz w:val="24"/>
          <w:szCs w:val="24"/>
          <w:lang w:eastAsia="es-CL"/>
        </w:rPr>
        <w:t xml:space="preserve">a </w:t>
      </w:r>
      <w:r w:rsidR="001C1758" w:rsidRPr="008B097F">
        <w:rPr>
          <w:rFonts w:eastAsia="Times New Roman" w:cstheme="minorHAnsi"/>
          <w:sz w:val="24"/>
          <w:szCs w:val="24"/>
          <w:lang w:eastAsia="es-CL"/>
        </w:rPr>
        <w:t xml:space="preserve">Región </w:t>
      </w:r>
      <w:r>
        <w:rPr>
          <w:rFonts w:eastAsia="Times New Roman" w:cstheme="minorHAnsi"/>
          <w:sz w:val="24"/>
          <w:szCs w:val="24"/>
          <w:lang w:eastAsia="es-CL"/>
        </w:rPr>
        <w:t>d</w:t>
      </w:r>
      <w:r w:rsidRPr="008B097F">
        <w:rPr>
          <w:rFonts w:eastAsia="Times New Roman" w:cstheme="minorHAnsi"/>
          <w:sz w:val="24"/>
          <w:szCs w:val="24"/>
          <w:lang w:eastAsia="es-CL"/>
        </w:rPr>
        <w:t xml:space="preserve">e </w:t>
      </w:r>
      <w:r w:rsidR="001C1758" w:rsidRPr="008B097F">
        <w:rPr>
          <w:rFonts w:eastAsia="Times New Roman" w:cstheme="minorHAnsi"/>
          <w:sz w:val="24"/>
          <w:szCs w:val="24"/>
          <w:lang w:eastAsia="es-CL"/>
        </w:rPr>
        <w:t xml:space="preserve">Magallanes </w:t>
      </w:r>
      <w:r>
        <w:rPr>
          <w:rFonts w:eastAsia="Times New Roman" w:cstheme="minorHAnsi"/>
          <w:sz w:val="24"/>
          <w:szCs w:val="24"/>
          <w:lang w:eastAsia="es-CL"/>
        </w:rPr>
        <w:t>y</w:t>
      </w:r>
      <w:r w:rsidRPr="008B097F">
        <w:rPr>
          <w:rFonts w:eastAsia="Times New Roman" w:cstheme="minorHAnsi"/>
          <w:sz w:val="24"/>
          <w:szCs w:val="24"/>
          <w:lang w:eastAsia="es-CL"/>
        </w:rPr>
        <w:t xml:space="preserve"> </w:t>
      </w:r>
      <w:r>
        <w:rPr>
          <w:rFonts w:eastAsia="Times New Roman" w:cstheme="minorHAnsi"/>
          <w:sz w:val="24"/>
          <w:szCs w:val="24"/>
          <w:lang w:eastAsia="es-CL"/>
        </w:rPr>
        <w:t>l</w:t>
      </w:r>
      <w:r w:rsidRPr="008B097F">
        <w:rPr>
          <w:rFonts w:eastAsia="Times New Roman" w:cstheme="minorHAnsi"/>
          <w:sz w:val="24"/>
          <w:szCs w:val="24"/>
          <w:lang w:eastAsia="es-CL"/>
        </w:rPr>
        <w:t xml:space="preserve">a </w:t>
      </w:r>
      <w:r w:rsidR="001C1758" w:rsidRPr="008B097F">
        <w:rPr>
          <w:rFonts w:eastAsia="Times New Roman" w:cstheme="minorHAnsi"/>
          <w:sz w:val="24"/>
          <w:szCs w:val="24"/>
          <w:lang w:eastAsia="es-CL"/>
        </w:rPr>
        <w:t xml:space="preserve">Antártica Chilena se encuentra establecido en el artículo 38 y siguientes de la Ley de Servicios </w:t>
      </w:r>
      <w:r w:rsidR="001C1758" w:rsidRPr="00145BA7">
        <w:rPr>
          <w:rFonts w:eastAsia="Times New Roman" w:cstheme="minorHAnsi"/>
          <w:sz w:val="24"/>
          <w:szCs w:val="24"/>
          <w:lang w:eastAsia="es-CL"/>
        </w:rPr>
        <w:t xml:space="preserve">de Gas. </w:t>
      </w:r>
    </w:p>
    <w:p w14:paraId="7148C58F" w14:textId="77777777" w:rsidR="002179B2" w:rsidRDefault="001C1758" w:rsidP="001C1758">
      <w:pPr>
        <w:jc w:val="both"/>
        <w:rPr>
          <w:rFonts w:eastAsia="Times New Roman" w:cstheme="minorHAnsi"/>
          <w:sz w:val="24"/>
          <w:szCs w:val="24"/>
          <w:lang w:eastAsia="es-CL"/>
        </w:rPr>
      </w:pPr>
      <w:r w:rsidRPr="00145BA7">
        <w:rPr>
          <w:rFonts w:eastAsia="Times New Roman" w:cstheme="minorHAnsi"/>
          <w:sz w:val="24"/>
          <w:szCs w:val="24"/>
          <w:lang w:eastAsia="es-CL"/>
        </w:rPr>
        <w:lastRenderedPageBreak/>
        <w:t>E</w:t>
      </w:r>
      <w:r w:rsidR="00EB7228">
        <w:rPr>
          <w:rFonts w:eastAsia="Times New Roman" w:cstheme="minorHAnsi"/>
          <w:sz w:val="24"/>
          <w:szCs w:val="24"/>
          <w:lang w:eastAsia="es-CL"/>
        </w:rPr>
        <w:t>ste</w:t>
      </w:r>
      <w:r w:rsidRPr="00145BA7">
        <w:rPr>
          <w:rFonts w:eastAsia="Times New Roman" w:cstheme="minorHAnsi"/>
          <w:sz w:val="24"/>
          <w:szCs w:val="24"/>
          <w:lang w:eastAsia="es-CL"/>
        </w:rPr>
        <w:t xml:space="preserve"> proceso se inicia en el año 2017, </w:t>
      </w:r>
      <w:r w:rsidR="002179B2">
        <w:rPr>
          <w:rFonts w:eastAsia="Times New Roman" w:cstheme="minorHAnsi"/>
          <w:sz w:val="24"/>
          <w:szCs w:val="24"/>
          <w:lang w:eastAsia="es-CL"/>
        </w:rPr>
        <w:t>y</w:t>
      </w:r>
      <w:r w:rsidRPr="00145BA7">
        <w:rPr>
          <w:rFonts w:eastAsia="Times New Roman" w:cstheme="minorHAnsi"/>
          <w:sz w:val="24"/>
          <w:szCs w:val="24"/>
          <w:lang w:eastAsia="es-CL"/>
        </w:rPr>
        <w:t xml:space="preserve"> a partir de 2018 se constituye el Comité de Licitación, Evaluación y Seguimiento del Estudio; se desarrolló las Bases Administrativas y Técnicas del Estudio de Costos, la que estuvieron sometidas a un proceso de discrepancias ante Panel de Expertos</w:t>
      </w:r>
      <w:r w:rsidR="002179B2">
        <w:rPr>
          <w:rFonts w:eastAsia="Times New Roman" w:cstheme="minorHAnsi"/>
          <w:sz w:val="24"/>
          <w:szCs w:val="24"/>
          <w:lang w:eastAsia="es-CL"/>
        </w:rPr>
        <w:t>.</w:t>
      </w:r>
    </w:p>
    <w:p w14:paraId="3EE7EB32" w14:textId="392A6332" w:rsidR="001C1758" w:rsidRDefault="002179B2" w:rsidP="001C1758">
      <w:pPr>
        <w:jc w:val="both"/>
        <w:rPr>
          <w:rFonts w:eastAsia="Times New Roman" w:cstheme="minorHAnsi"/>
          <w:sz w:val="24"/>
          <w:szCs w:val="24"/>
          <w:lang w:eastAsia="es-CL"/>
        </w:rPr>
      </w:pPr>
      <w:r>
        <w:rPr>
          <w:rFonts w:eastAsia="Times New Roman" w:cstheme="minorHAnsi"/>
          <w:sz w:val="24"/>
          <w:szCs w:val="24"/>
          <w:lang w:eastAsia="es-CL"/>
        </w:rPr>
        <w:t xml:space="preserve">Posteriormente </w:t>
      </w:r>
      <w:r w:rsidR="001C1758" w:rsidRPr="00145BA7">
        <w:rPr>
          <w:rFonts w:eastAsia="Times New Roman" w:cstheme="minorHAnsi"/>
          <w:sz w:val="24"/>
          <w:szCs w:val="24"/>
          <w:lang w:eastAsia="es-CL"/>
        </w:rPr>
        <w:t xml:space="preserve">la </w:t>
      </w:r>
      <w:r>
        <w:rPr>
          <w:rFonts w:eastAsia="Times New Roman" w:cstheme="minorHAnsi"/>
          <w:sz w:val="24"/>
          <w:szCs w:val="24"/>
          <w:lang w:eastAsia="es-CL"/>
        </w:rPr>
        <w:t>CNE</w:t>
      </w:r>
      <w:r w:rsidR="001C1758" w:rsidRPr="00145BA7">
        <w:rPr>
          <w:rFonts w:eastAsia="Times New Roman" w:cstheme="minorHAnsi"/>
          <w:sz w:val="24"/>
          <w:szCs w:val="24"/>
          <w:lang w:eastAsia="es-CL"/>
        </w:rPr>
        <w:t xml:space="preserve"> elaboró los Informes Técnicos correspondientes y se recibieron observaciones de la empresa concesionaria, así como de algunos participantes. Dicho proceso también fue sometido a resolución de discrepancias ante el Panel de Expertos.</w:t>
      </w:r>
    </w:p>
    <w:p w14:paraId="6236A6E4" w14:textId="77777777" w:rsidR="001C1758" w:rsidRPr="008B097F" w:rsidRDefault="001C1758" w:rsidP="001C1758">
      <w:pPr>
        <w:jc w:val="both"/>
        <w:rPr>
          <w:rFonts w:eastAsia="Times New Roman" w:cstheme="minorHAnsi"/>
          <w:sz w:val="24"/>
          <w:szCs w:val="24"/>
          <w:lang w:eastAsia="es-CL"/>
        </w:rPr>
      </w:pPr>
      <w:r w:rsidRPr="008B097F">
        <w:rPr>
          <w:rFonts w:eastAsia="Times New Roman" w:cstheme="minorHAnsi"/>
          <w:sz w:val="24"/>
          <w:szCs w:val="24"/>
          <w:lang w:eastAsia="es-CL"/>
        </w:rPr>
        <w:t>Finalmente, en julio de 2019, previo Informe de la CNE, el Ministerio de Energía dictó el Decreto tarifario 8T que luego de la revisión de Contraloría General de la República, fue publicado en el Diario Oficial el 23 marzo de 2020, convirtiéndose en el primer decreto que tarificó los servicios de gas de gas y servicios afines en la Región de Magallanes y la Antártica Chilena.</w:t>
      </w:r>
    </w:p>
    <w:p w14:paraId="65AD6ED7" w14:textId="77777777" w:rsidR="001C1758" w:rsidRPr="008B097F" w:rsidRDefault="001C1758" w:rsidP="001C1758">
      <w:pPr>
        <w:jc w:val="both"/>
        <w:rPr>
          <w:rFonts w:eastAsia="Times New Roman" w:cstheme="minorHAnsi"/>
          <w:sz w:val="24"/>
          <w:szCs w:val="24"/>
          <w:lang w:eastAsia="es-CL"/>
        </w:rPr>
      </w:pPr>
      <w:r w:rsidRPr="008B097F">
        <w:rPr>
          <w:rFonts w:eastAsia="Times New Roman" w:cstheme="minorHAnsi"/>
          <w:sz w:val="24"/>
          <w:szCs w:val="24"/>
          <w:lang w:eastAsia="es-CL"/>
        </w:rPr>
        <w:t>Desde la fecha de publicación en el Diario Oficial y hasta febrero de 2022, la CNE ha monitoreado las tarifas y su indexación elaborando un total de 23 reportes de seguimiento, que han verificado la correcta indexación de tarifas y en aquellos casos que no ha sido así, se ha informado a la empresa concesionaria para que realic</w:t>
      </w:r>
      <w:r>
        <w:rPr>
          <w:rFonts w:eastAsia="Times New Roman" w:cstheme="minorHAnsi"/>
          <w:sz w:val="24"/>
          <w:szCs w:val="24"/>
          <w:lang w:eastAsia="es-CL"/>
        </w:rPr>
        <w:t>e</w:t>
      </w:r>
      <w:r w:rsidRPr="008B097F">
        <w:rPr>
          <w:rFonts w:eastAsia="Times New Roman" w:cstheme="minorHAnsi"/>
          <w:sz w:val="24"/>
          <w:szCs w:val="24"/>
          <w:lang w:eastAsia="es-CL"/>
        </w:rPr>
        <w:t xml:space="preserve"> corrección en sus cálculos.</w:t>
      </w:r>
    </w:p>
    <w:p w14:paraId="47E71DC1" w14:textId="7385C141" w:rsidR="00716C1B" w:rsidRPr="0002734E" w:rsidRDefault="00716C1B" w:rsidP="00716C1B">
      <w:pPr>
        <w:spacing w:before="100" w:beforeAutospacing="1" w:after="100" w:afterAutospacing="1" w:line="240" w:lineRule="auto"/>
        <w:jc w:val="both"/>
        <w:rPr>
          <w:rFonts w:eastAsia="Times New Roman" w:cstheme="minorHAnsi"/>
          <w:sz w:val="24"/>
          <w:szCs w:val="24"/>
          <w:lang w:eastAsia="es-CL"/>
        </w:rPr>
      </w:pPr>
      <w:r w:rsidRPr="0002734E">
        <w:rPr>
          <w:rFonts w:eastAsia="Times New Roman" w:cstheme="minorHAnsi"/>
          <w:b/>
          <w:bCs/>
          <w:sz w:val="24"/>
          <w:szCs w:val="24"/>
          <w:lang w:eastAsia="es-CL"/>
        </w:rPr>
        <w:t>En el Ámbito de Competitividad del Mercado </w:t>
      </w:r>
    </w:p>
    <w:p w14:paraId="086D5327" w14:textId="2EC67B83" w:rsidR="00716C1B" w:rsidRPr="009577BF" w:rsidRDefault="00716C1B" w:rsidP="00716C1B">
      <w:pPr>
        <w:jc w:val="both"/>
        <w:rPr>
          <w:rFonts w:eastAsia="Times New Roman" w:cstheme="minorHAnsi"/>
          <w:sz w:val="24"/>
          <w:szCs w:val="24"/>
          <w:lang w:eastAsia="es-CL"/>
        </w:rPr>
      </w:pPr>
      <w:r w:rsidRPr="009577BF">
        <w:rPr>
          <w:rFonts w:eastAsia="Times New Roman" w:cstheme="minorHAnsi"/>
          <w:sz w:val="24"/>
          <w:szCs w:val="24"/>
          <w:lang w:eastAsia="es-CL"/>
        </w:rPr>
        <w:t xml:space="preserve">En atención a lo dispuesto en el artículo 131° de la Ley General de Servicios Eléctricos, la </w:t>
      </w:r>
      <w:r>
        <w:rPr>
          <w:rFonts w:eastAsia="Times New Roman" w:cstheme="minorHAnsi"/>
          <w:sz w:val="24"/>
          <w:szCs w:val="24"/>
          <w:lang w:eastAsia="es-CL"/>
        </w:rPr>
        <w:t xml:space="preserve">CNE </w:t>
      </w:r>
      <w:r w:rsidRPr="009577BF">
        <w:rPr>
          <w:rFonts w:eastAsia="Times New Roman" w:cstheme="minorHAnsi"/>
          <w:sz w:val="24"/>
          <w:szCs w:val="24"/>
          <w:lang w:eastAsia="es-CL"/>
        </w:rPr>
        <w:t xml:space="preserve">publica anualmente el “Informe de Licitaciones”. En este informe se determina la proyección de demanda eléctrica de los clientes regulados del Sistema Eléctrico Nacional, para un horizonte de 20 años, el nivel de contratación de las empresas distribuidoras y la proyección de necesidades de suministro y de licitaciones resultantes para los próximos años. El proceso de elaboración del informe considera una etapa de observaciones de parte de las empresas y actores interesadas, e incluso la posibilidad de recurrir ante el Panel de Expertos en caso de discrepancia respecto de los valores contenidos en el Informe Final de Licitaciones. Cabe mencionar que en el período 2018-2021 no se presentó ninguna discrepancia sobre los resultados </w:t>
      </w:r>
      <w:r w:rsidR="007410FD">
        <w:rPr>
          <w:rFonts w:eastAsia="Times New Roman" w:cstheme="minorHAnsi"/>
          <w:sz w:val="24"/>
          <w:szCs w:val="24"/>
          <w:lang w:eastAsia="es-CL"/>
        </w:rPr>
        <w:t>de dicho Informe</w:t>
      </w:r>
      <w:r w:rsidRPr="009577BF">
        <w:rPr>
          <w:rFonts w:eastAsia="Times New Roman" w:cstheme="minorHAnsi"/>
          <w:sz w:val="24"/>
          <w:szCs w:val="24"/>
          <w:lang w:eastAsia="es-CL"/>
        </w:rPr>
        <w:t xml:space="preserve">. </w:t>
      </w:r>
    </w:p>
    <w:p w14:paraId="56C70C55" w14:textId="77777777" w:rsidR="007410FD" w:rsidRDefault="007410FD" w:rsidP="007410FD">
      <w:pPr>
        <w:jc w:val="both"/>
        <w:rPr>
          <w:rFonts w:eastAsia="Times New Roman" w:cstheme="minorHAnsi"/>
          <w:sz w:val="24"/>
          <w:szCs w:val="24"/>
          <w:lang w:eastAsia="es-CL"/>
        </w:rPr>
      </w:pPr>
      <w:r>
        <w:rPr>
          <w:rFonts w:eastAsia="Times New Roman" w:cstheme="minorHAnsi"/>
          <w:sz w:val="24"/>
          <w:szCs w:val="24"/>
          <w:lang w:eastAsia="es-CL"/>
        </w:rPr>
        <w:t>Los resultados de estos informes permitieron a la CNE</w:t>
      </w:r>
      <w:r w:rsidRPr="009577BF">
        <w:rPr>
          <w:rFonts w:eastAsia="Times New Roman" w:cstheme="minorHAnsi"/>
          <w:sz w:val="24"/>
          <w:szCs w:val="24"/>
          <w:lang w:eastAsia="es-CL"/>
        </w:rPr>
        <w:t xml:space="preserve"> </w:t>
      </w:r>
      <w:r>
        <w:rPr>
          <w:rFonts w:eastAsia="Times New Roman" w:cstheme="minorHAnsi"/>
          <w:sz w:val="24"/>
          <w:szCs w:val="24"/>
          <w:lang w:eastAsia="es-CL"/>
        </w:rPr>
        <w:t xml:space="preserve">realizar </w:t>
      </w:r>
      <w:r w:rsidRPr="009577BF">
        <w:rPr>
          <w:rFonts w:eastAsia="Times New Roman" w:cstheme="minorHAnsi"/>
          <w:sz w:val="24"/>
          <w:szCs w:val="24"/>
          <w:lang w:eastAsia="es-CL"/>
        </w:rPr>
        <w:t xml:space="preserve">el diseño e implementación del proceso de licitación de suministro 2021/01 por 2.310 GWh-año, con inicio de suministro para el año 2026. A su vez, el informe de Licitaciones 2021, previó la necesidad de realizar un nuevo proceso de licitación por 5.000 GWh-año para ser llevado a cabo durante el año 2022, con inicio de suministro para el año 2027. </w:t>
      </w:r>
    </w:p>
    <w:p w14:paraId="651BB111" w14:textId="14015F56" w:rsidR="00716C1B" w:rsidRDefault="00716C1B" w:rsidP="00716C1B">
      <w:pPr>
        <w:jc w:val="both"/>
        <w:rPr>
          <w:rFonts w:eastAsia="Times New Roman" w:cstheme="minorHAnsi"/>
          <w:sz w:val="24"/>
          <w:szCs w:val="24"/>
          <w:lang w:eastAsia="es-CL"/>
        </w:rPr>
      </w:pPr>
    </w:p>
    <w:p w14:paraId="7264D854" w14:textId="77777777" w:rsidR="00716C1B" w:rsidRPr="009577BF" w:rsidRDefault="00716C1B" w:rsidP="00716C1B">
      <w:pPr>
        <w:jc w:val="both"/>
        <w:rPr>
          <w:rFonts w:eastAsia="Times New Roman" w:cstheme="minorHAnsi"/>
          <w:sz w:val="24"/>
          <w:szCs w:val="24"/>
          <w:lang w:eastAsia="es-CL"/>
        </w:rPr>
      </w:pPr>
    </w:p>
    <w:p w14:paraId="28050C91" w14:textId="522FBED6" w:rsidR="00716C1B" w:rsidRPr="00A25133" w:rsidRDefault="00716C1B" w:rsidP="00716C1B">
      <w:pPr>
        <w:jc w:val="both"/>
        <w:rPr>
          <w:rFonts w:eastAsia="Times New Roman" w:cstheme="minorHAnsi"/>
          <w:sz w:val="24"/>
          <w:szCs w:val="24"/>
          <w:lang w:eastAsia="es-CL"/>
        </w:rPr>
      </w:pPr>
      <w:r w:rsidRPr="00A25133">
        <w:rPr>
          <w:rFonts w:eastAsia="Times New Roman" w:cstheme="minorHAnsi"/>
          <w:sz w:val="24"/>
          <w:szCs w:val="24"/>
          <w:lang w:eastAsia="es-CL"/>
        </w:rPr>
        <w:lastRenderedPageBreak/>
        <w:t>De conformidad a lo establecido en La Ley General de Servicios Eléctricos, las concesionaras de distribución eléctrica debe</w:t>
      </w:r>
      <w:r w:rsidR="007410FD">
        <w:rPr>
          <w:rFonts w:eastAsia="Times New Roman" w:cstheme="minorHAnsi"/>
          <w:sz w:val="24"/>
          <w:szCs w:val="24"/>
          <w:lang w:eastAsia="es-CL"/>
        </w:rPr>
        <w:t>n</w:t>
      </w:r>
      <w:r w:rsidRPr="00A25133">
        <w:rPr>
          <w:rFonts w:eastAsia="Times New Roman" w:cstheme="minorHAnsi"/>
          <w:sz w:val="24"/>
          <w:szCs w:val="24"/>
          <w:lang w:eastAsia="es-CL"/>
        </w:rPr>
        <w:t xml:space="preserve"> disponer permanentemente de suministro contratado para el abastecimiento de sus clientes regulados (residenciales, comerciales y pequeñas industrias). Para ello, dichos contratos deberán ser resultado de licitaciones públicas, las cuales son diseñadas y dirigidas por la </w:t>
      </w:r>
      <w:r w:rsidR="007410FD">
        <w:rPr>
          <w:rFonts w:eastAsia="Times New Roman" w:cstheme="minorHAnsi"/>
          <w:sz w:val="24"/>
          <w:szCs w:val="24"/>
          <w:lang w:eastAsia="es-CL"/>
        </w:rPr>
        <w:t>CNE</w:t>
      </w:r>
      <w:r w:rsidRPr="00A25133">
        <w:rPr>
          <w:rFonts w:eastAsia="Times New Roman" w:cstheme="minorHAnsi"/>
          <w:sz w:val="24"/>
          <w:szCs w:val="24"/>
          <w:lang w:eastAsia="es-CL"/>
        </w:rPr>
        <w:t xml:space="preserve">.  </w:t>
      </w:r>
    </w:p>
    <w:p w14:paraId="64BFDFA7" w14:textId="77777777" w:rsidR="00716C1B" w:rsidRPr="00A25133" w:rsidRDefault="00716C1B" w:rsidP="00716C1B">
      <w:pPr>
        <w:jc w:val="both"/>
        <w:rPr>
          <w:rFonts w:eastAsia="Times New Roman" w:cstheme="minorHAnsi"/>
          <w:sz w:val="24"/>
          <w:szCs w:val="24"/>
          <w:lang w:eastAsia="es-CL"/>
        </w:rPr>
      </w:pPr>
      <w:r w:rsidRPr="00A25133">
        <w:rPr>
          <w:rFonts w:eastAsia="Times New Roman" w:cstheme="minorHAnsi"/>
          <w:sz w:val="24"/>
          <w:szCs w:val="24"/>
          <w:lang w:eastAsia="es-CL"/>
        </w:rPr>
        <w:t xml:space="preserve">Desde la publicación de la Ley </w:t>
      </w:r>
      <w:proofErr w:type="spellStart"/>
      <w:r>
        <w:rPr>
          <w:rFonts w:eastAsia="Times New Roman" w:cstheme="minorHAnsi"/>
          <w:sz w:val="24"/>
          <w:szCs w:val="24"/>
          <w:lang w:eastAsia="es-CL"/>
        </w:rPr>
        <w:t>N°</w:t>
      </w:r>
      <w:proofErr w:type="spellEnd"/>
      <w:r>
        <w:rPr>
          <w:rFonts w:eastAsia="Times New Roman" w:cstheme="minorHAnsi"/>
          <w:sz w:val="24"/>
          <w:szCs w:val="24"/>
          <w:lang w:eastAsia="es-CL"/>
        </w:rPr>
        <w:t xml:space="preserve"> </w:t>
      </w:r>
      <w:r w:rsidRPr="00A25133">
        <w:rPr>
          <w:rFonts w:eastAsia="Times New Roman" w:cstheme="minorHAnsi"/>
          <w:sz w:val="24"/>
          <w:szCs w:val="24"/>
          <w:lang w:eastAsia="es-CL"/>
        </w:rPr>
        <w:t>20.805, que perfecciona el sistema de licitaciones de suministro eléctrico, estas licitaciones se han convertido en un importante instrumento para reducir precios de largo plazo de los clientes regulados, para atraer a nuevos actores al mercado eléctrico y para viabilizar la incorporación de nuevos proyectos de generación en base a energías renovables.</w:t>
      </w:r>
    </w:p>
    <w:p w14:paraId="2FF406B9" w14:textId="68B7EAE4" w:rsidR="00716C1B" w:rsidRDefault="007410FD" w:rsidP="00716C1B">
      <w:pPr>
        <w:jc w:val="both"/>
        <w:rPr>
          <w:rFonts w:eastAsia="Times New Roman" w:cstheme="minorHAnsi"/>
          <w:sz w:val="24"/>
          <w:szCs w:val="24"/>
          <w:lang w:eastAsia="es-CL"/>
        </w:rPr>
      </w:pPr>
      <w:r>
        <w:rPr>
          <w:rFonts w:eastAsia="Times New Roman" w:cstheme="minorHAnsi"/>
          <w:sz w:val="24"/>
          <w:szCs w:val="24"/>
          <w:lang w:eastAsia="es-CL"/>
        </w:rPr>
        <w:t xml:space="preserve">Las </w:t>
      </w:r>
      <w:r w:rsidR="00716C1B" w:rsidRPr="00A25133">
        <w:rPr>
          <w:rFonts w:eastAsia="Times New Roman" w:cstheme="minorHAnsi"/>
          <w:sz w:val="24"/>
          <w:szCs w:val="24"/>
          <w:lang w:eastAsia="es-CL"/>
        </w:rPr>
        <w:t>licitaciones de diseñan anualmente en base a las necesidades de nuevo suministro contratado, determinado por la CNE en sus Informes de Licitación. Durante el año 2018 no se efect</w:t>
      </w:r>
      <w:r>
        <w:rPr>
          <w:rFonts w:eastAsia="Times New Roman" w:cstheme="minorHAnsi"/>
          <w:sz w:val="24"/>
          <w:szCs w:val="24"/>
          <w:lang w:eastAsia="es-CL"/>
        </w:rPr>
        <w:t>uaron</w:t>
      </w:r>
      <w:r w:rsidR="00716C1B" w:rsidRPr="00A25133">
        <w:rPr>
          <w:rFonts w:eastAsia="Times New Roman" w:cstheme="minorHAnsi"/>
          <w:sz w:val="24"/>
          <w:szCs w:val="24"/>
          <w:lang w:eastAsia="es-CL"/>
        </w:rPr>
        <w:t xml:space="preserve"> licitaciones de suministro, debido a reducciones en las proyecciones de demanda. En el año 2019 se realizó el llamado a licitación 2019/01, por un monto de energía de 5.880 GWh-año a partir de 2026, sin embargo, cambios en las expectativas económicas que impactan en las proyecciones de demanda llevaron a postergar la realización del proceso para 2020 y posteriormente las consecuencias de la pandemia de Covid-19 implicaron suspender definitivamente el proceso. De esta manera, </w:t>
      </w:r>
      <w:r w:rsidR="00716C1B">
        <w:rPr>
          <w:rFonts w:eastAsia="Times New Roman" w:cstheme="minorHAnsi"/>
          <w:sz w:val="24"/>
          <w:szCs w:val="24"/>
          <w:lang w:eastAsia="es-CL"/>
        </w:rPr>
        <w:t>en diciembre de</w:t>
      </w:r>
      <w:r w:rsidR="00716C1B" w:rsidRPr="00A25133">
        <w:rPr>
          <w:rFonts w:eastAsia="Times New Roman" w:cstheme="minorHAnsi"/>
          <w:sz w:val="24"/>
          <w:szCs w:val="24"/>
          <w:lang w:eastAsia="es-CL"/>
        </w:rPr>
        <w:t xml:space="preserve"> 2020 se da inicio a un nuevo proceso de licitación, denominado licitación 2021/01, por un monto de 2.310 GWh-año a partir de 2026. Dicha licitación incorporó cambios </w:t>
      </w:r>
      <w:r w:rsidR="00716C1B" w:rsidRPr="008C10C6">
        <w:rPr>
          <w:rFonts w:eastAsia="Times New Roman" w:cstheme="minorHAnsi"/>
          <w:sz w:val="24"/>
          <w:szCs w:val="24"/>
          <w:lang w:eastAsia="es-CL"/>
        </w:rPr>
        <w:t>destinados a reducir algunos riesgos de modo de incentivar la participación de los distintos suministradores de energía, lograr precios competitivos que beneficien a los clientes regulados y dar más acceso a distintos tipos de energía, incluido el almacenamiento. Entre tales cambios, se incluye la posibilidad opcional de extensión del contrato en caso de no facturarse toda la energía comprometida, la habilitación para que ante un cambio legal que incorpore nuevas condiciones de facturación para futuras licitaciones, ellas puedan ser acogidas opcionalmente por los contratos adjudicados en la presente Licitación, y permitir y facilitar la participación de Sistemas de Almacenamiento puros.</w:t>
      </w:r>
    </w:p>
    <w:p w14:paraId="3FB2C71E" w14:textId="77777777" w:rsidR="00716C1B" w:rsidRDefault="00716C1B" w:rsidP="00716C1B">
      <w:pPr>
        <w:jc w:val="both"/>
        <w:rPr>
          <w:rFonts w:eastAsia="Times New Roman" w:cstheme="minorHAnsi"/>
          <w:sz w:val="24"/>
          <w:szCs w:val="24"/>
          <w:lang w:eastAsia="es-CL"/>
        </w:rPr>
      </w:pPr>
      <w:r>
        <w:rPr>
          <w:rFonts w:eastAsia="Times New Roman" w:cstheme="minorHAnsi"/>
          <w:sz w:val="24"/>
          <w:szCs w:val="24"/>
          <w:lang w:eastAsia="es-CL"/>
        </w:rPr>
        <w:t>La adjudicación de este proceso de licitación se realizó en septiembre de 2021, permitiendo abastecer la totalidad del suministro licitado a un precio promedio de 23,8 US$/</w:t>
      </w:r>
      <w:proofErr w:type="spellStart"/>
      <w:r>
        <w:rPr>
          <w:rFonts w:eastAsia="Times New Roman" w:cstheme="minorHAnsi"/>
          <w:sz w:val="24"/>
          <w:szCs w:val="24"/>
          <w:lang w:eastAsia="es-CL"/>
        </w:rPr>
        <w:t>MWh</w:t>
      </w:r>
      <w:proofErr w:type="spellEnd"/>
      <w:r>
        <w:rPr>
          <w:rFonts w:eastAsia="Times New Roman" w:cstheme="minorHAnsi"/>
          <w:sz w:val="24"/>
          <w:szCs w:val="24"/>
          <w:lang w:eastAsia="es-CL"/>
        </w:rPr>
        <w:t>, el valor más bajo obtenido en un proceso de licitación. Destaca adicionalmente que la totalidad de las ofertas adjudicadas corresponden a proyectos nuevos de energías renovables y sistemas de almacenamiento.</w:t>
      </w:r>
    </w:p>
    <w:p w14:paraId="5A43E900" w14:textId="7711CDCC" w:rsidR="001C0F4D" w:rsidRPr="0002734E" w:rsidRDefault="001C0F4D" w:rsidP="001C0F4D">
      <w:pPr>
        <w:spacing w:before="100" w:beforeAutospacing="1" w:after="100" w:afterAutospacing="1" w:line="240" w:lineRule="auto"/>
        <w:jc w:val="both"/>
        <w:rPr>
          <w:rFonts w:eastAsia="Times New Roman" w:cstheme="minorHAnsi"/>
          <w:sz w:val="24"/>
          <w:szCs w:val="24"/>
          <w:lang w:eastAsia="es-CL"/>
        </w:rPr>
      </w:pPr>
      <w:r w:rsidRPr="0002734E">
        <w:rPr>
          <w:rFonts w:eastAsia="Times New Roman" w:cstheme="minorHAnsi"/>
          <w:b/>
          <w:bCs/>
          <w:sz w:val="24"/>
          <w:szCs w:val="24"/>
          <w:lang w:eastAsia="es-CL"/>
        </w:rPr>
        <w:t>En el Ámbito de Proyección de la Demanda</w:t>
      </w:r>
    </w:p>
    <w:p w14:paraId="7A4E7937" w14:textId="6FFD5ADA" w:rsidR="001C0F4D" w:rsidRPr="000F19B0" w:rsidRDefault="001C0F4D" w:rsidP="001C0F4D">
      <w:pPr>
        <w:jc w:val="both"/>
        <w:rPr>
          <w:rFonts w:eastAsia="Times New Roman" w:cstheme="minorHAnsi"/>
          <w:sz w:val="24"/>
          <w:szCs w:val="24"/>
          <w:lang w:eastAsia="es-CL"/>
        </w:rPr>
      </w:pPr>
      <w:r>
        <w:rPr>
          <w:rFonts w:eastAsia="Times New Roman" w:cstheme="minorHAnsi"/>
          <w:sz w:val="24"/>
          <w:szCs w:val="24"/>
          <w:lang w:eastAsia="es-CL"/>
        </w:rPr>
        <w:t>En el</w:t>
      </w:r>
      <w:r w:rsidRPr="000F19B0">
        <w:rPr>
          <w:rFonts w:eastAsia="Times New Roman" w:cstheme="minorHAnsi"/>
          <w:sz w:val="24"/>
          <w:szCs w:val="24"/>
          <w:lang w:eastAsia="es-CL"/>
        </w:rPr>
        <w:t xml:space="preserve"> mes de diciembre</w:t>
      </w:r>
      <w:r>
        <w:rPr>
          <w:rFonts w:eastAsia="Times New Roman" w:cstheme="minorHAnsi"/>
          <w:sz w:val="24"/>
          <w:szCs w:val="24"/>
          <w:lang w:eastAsia="es-CL"/>
        </w:rPr>
        <w:t xml:space="preserve"> de cada año</w:t>
      </w:r>
      <w:r w:rsidRPr="000F19B0">
        <w:rPr>
          <w:rFonts w:eastAsia="Times New Roman" w:cstheme="minorHAnsi"/>
          <w:sz w:val="24"/>
          <w:szCs w:val="24"/>
          <w:lang w:eastAsia="es-CL"/>
        </w:rPr>
        <w:t xml:space="preserve">, la </w:t>
      </w:r>
      <w:r>
        <w:rPr>
          <w:rFonts w:eastAsia="Times New Roman" w:cstheme="minorHAnsi"/>
          <w:sz w:val="24"/>
          <w:szCs w:val="24"/>
          <w:lang w:eastAsia="es-CL"/>
        </w:rPr>
        <w:t xml:space="preserve">CNE </w:t>
      </w:r>
      <w:r w:rsidRPr="000F19B0">
        <w:rPr>
          <w:rFonts w:eastAsia="Times New Roman" w:cstheme="minorHAnsi"/>
          <w:sz w:val="24"/>
          <w:szCs w:val="24"/>
          <w:lang w:eastAsia="es-CL"/>
        </w:rPr>
        <w:t xml:space="preserve">publica el “Informe Preliminar de Previsión de Demanda para el Sistema Eléctrico Nacional y Sistemas Medianos”. En dicho informe se distinguen las proyecciones de consumo de los grupos de consumo de clientes regulados y </w:t>
      </w:r>
      <w:r w:rsidRPr="000F19B0">
        <w:rPr>
          <w:rFonts w:eastAsia="Times New Roman" w:cstheme="minorHAnsi"/>
          <w:sz w:val="24"/>
          <w:szCs w:val="24"/>
          <w:lang w:eastAsia="es-CL"/>
        </w:rPr>
        <w:lastRenderedPageBreak/>
        <w:t xml:space="preserve">clientes libres. Para su elaboración, se utiliza los antecedentes entregados por las empresas concesionarias de servicio público de distribución y del Coordinador. Los resultados de estos informes sirven para la realización de distintos procesos tarifarios, tales como la planificación de la expansión de la transmisión, fijación semestral de los precios de nudo de corto plazo, los procesos cuatrienales de valorización de la transmisión, del valor agregado de distribución y de valorización de sistemas medianos, entre otros. </w:t>
      </w:r>
      <w:r w:rsidRPr="009577BF">
        <w:rPr>
          <w:rFonts w:eastAsia="Times New Roman" w:cstheme="minorHAnsi"/>
          <w:sz w:val="24"/>
          <w:szCs w:val="24"/>
          <w:lang w:eastAsia="es-CL"/>
        </w:rPr>
        <w:t>El proceso de elaboración del informe considera una etapa de observaciones de parte de las empresas y actores interesadas</w:t>
      </w:r>
      <w:r>
        <w:rPr>
          <w:rFonts w:eastAsia="Times New Roman" w:cstheme="minorHAnsi"/>
          <w:sz w:val="24"/>
          <w:szCs w:val="24"/>
          <w:lang w:eastAsia="es-CL"/>
        </w:rPr>
        <w:t>, los cuales son consideradas en la elaboración del informe final que se emite en el mes de enero siguiente.</w:t>
      </w:r>
    </w:p>
    <w:p w14:paraId="2F8D397A" w14:textId="77777777" w:rsidR="001C0F4D" w:rsidRPr="000F19B0" w:rsidRDefault="001C0F4D" w:rsidP="001C0F4D">
      <w:pPr>
        <w:jc w:val="both"/>
        <w:rPr>
          <w:rFonts w:eastAsia="Times New Roman" w:cstheme="minorHAnsi"/>
          <w:sz w:val="24"/>
          <w:szCs w:val="24"/>
          <w:lang w:eastAsia="es-CL"/>
        </w:rPr>
      </w:pPr>
      <w:r>
        <w:rPr>
          <w:rFonts w:eastAsia="Times New Roman" w:cstheme="minorHAnsi"/>
          <w:sz w:val="24"/>
          <w:szCs w:val="24"/>
          <w:lang w:eastAsia="es-CL"/>
        </w:rPr>
        <w:t xml:space="preserve">Las situaciones de convulsión social de 2019, las importantes variaciones de las expectativas económicas y la pandemia de Covid-19 han originado importantes variaciones en las proyecciones de crecimiento de la demanda energética a lo largo del período 2018-2021. </w:t>
      </w:r>
      <w:r w:rsidRPr="000F19B0">
        <w:rPr>
          <w:rFonts w:eastAsia="Times New Roman" w:cstheme="minorHAnsi"/>
          <w:sz w:val="24"/>
          <w:szCs w:val="24"/>
          <w:lang w:eastAsia="es-CL"/>
        </w:rPr>
        <w:t xml:space="preserve">En su último Informe preliminar de </w:t>
      </w:r>
      <w:r>
        <w:rPr>
          <w:rFonts w:eastAsia="Times New Roman" w:cstheme="minorHAnsi"/>
          <w:sz w:val="24"/>
          <w:szCs w:val="24"/>
          <w:lang w:eastAsia="es-CL"/>
        </w:rPr>
        <w:t xml:space="preserve">diciembre de </w:t>
      </w:r>
      <w:r w:rsidRPr="000F19B0">
        <w:rPr>
          <w:rFonts w:eastAsia="Times New Roman" w:cstheme="minorHAnsi"/>
          <w:sz w:val="24"/>
          <w:szCs w:val="24"/>
          <w:lang w:eastAsia="es-CL"/>
        </w:rPr>
        <w:t>2021, los resultados estiman un crecimiento promedio de la demanda de largo plazo de un 3,80% anual para el Sistema Eléctrico Nacional.</w:t>
      </w:r>
    </w:p>
    <w:p w14:paraId="6F131AD2" w14:textId="77777777" w:rsidR="00A4111E" w:rsidRDefault="00A4111E" w:rsidP="001C0F4D">
      <w:pPr>
        <w:jc w:val="both"/>
        <w:rPr>
          <w:rFonts w:eastAsia="Times New Roman" w:cstheme="minorHAnsi"/>
          <w:b/>
          <w:bCs/>
          <w:sz w:val="24"/>
          <w:szCs w:val="24"/>
          <w:lang w:eastAsia="es-CL"/>
        </w:rPr>
      </w:pPr>
    </w:p>
    <w:p w14:paraId="7AF9AE70" w14:textId="5D771560" w:rsidR="001C0F4D" w:rsidRPr="00BF0004" w:rsidRDefault="00A8055D" w:rsidP="001C0F4D">
      <w:pPr>
        <w:jc w:val="both"/>
        <w:rPr>
          <w:rFonts w:eastAsia="Times New Roman" w:cstheme="minorHAnsi"/>
          <w:b/>
          <w:bCs/>
          <w:sz w:val="24"/>
          <w:szCs w:val="24"/>
          <w:lang w:eastAsia="es-CL"/>
        </w:rPr>
      </w:pPr>
      <w:bookmarkStart w:id="0" w:name="_Hlk97033605"/>
      <w:r>
        <w:rPr>
          <w:rFonts w:eastAsia="Times New Roman" w:cstheme="minorHAnsi"/>
          <w:b/>
          <w:bCs/>
          <w:sz w:val="24"/>
          <w:szCs w:val="24"/>
          <w:lang w:eastAsia="es-CL"/>
        </w:rPr>
        <w:t xml:space="preserve">En el </w:t>
      </w:r>
      <w:r w:rsidRPr="0002734E">
        <w:rPr>
          <w:rFonts w:eastAsia="Times New Roman" w:cstheme="minorHAnsi"/>
          <w:b/>
          <w:bCs/>
          <w:sz w:val="24"/>
          <w:szCs w:val="24"/>
          <w:lang w:eastAsia="es-CL"/>
        </w:rPr>
        <w:t xml:space="preserve">Ámbito </w:t>
      </w:r>
      <w:r>
        <w:rPr>
          <w:rFonts w:eastAsia="Times New Roman" w:cstheme="minorHAnsi"/>
          <w:b/>
          <w:bCs/>
          <w:sz w:val="24"/>
          <w:szCs w:val="24"/>
          <w:lang w:eastAsia="es-CL"/>
        </w:rPr>
        <w:t xml:space="preserve">de la </w:t>
      </w:r>
      <w:r w:rsidR="001C0F4D" w:rsidRPr="00BF0004">
        <w:rPr>
          <w:rFonts w:eastAsia="Times New Roman" w:cstheme="minorHAnsi"/>
          <w:b/>
          <w:bCs/>
          <w:sz w:val="24"/>
          <w:szCs w:val="24"/>
          <w:lang w:eastAsia="es-CL"/>
        </w:rPr>
        <w:t>Estabilización</w:t>
      </w:r>
      <w:r w:rsidR="00A4111E">
        <w:rPr>
          <w:rFonts w:eastAsia="Times New Roman" w:cstheme="minorHAnsi"/>
          <w:b/>
          <w:bCs/>
          <w:sz w:val="24"/>
          <w:szCs w:val="24"/>
          <w:lang w:eastAsia="es-CL"/>
        </w:rPr>
        <w:t xml:space="preserve"> de Precios</w:t>
      </w:r>
    </w:p>
    <w:bookmarkEnd w:id="0"/>
    <w:p w14:paraId="15CBA707" w14:textId="3C7BFC36" w:rsidR="001C0F4D" w:rsidRDefault="001C0F4D" w:rsidP="001C0F4D">
      <w:pPr>
        <w:jc w:val="both"/>
        <w:rPr>
          <w:rFonts w:eastAsia="Times New Roman" w:cstheme="minorHAnsi"/>
          <w:sz w:val="24"/>
          <w:szCs w:val="24"/>
          <w:lang w:eastAsia="es-CL"/>
        </w:rPr>
      </w:pPr>
      <w:r w:rsidRPr="00E3019A">
        <w:rPr>
          <w:rFonts w:eastAsia="Times New Roman" w:cstheme="minorHAnsi"/>
          <w:sz w:val="24"/>
          <w:szCs w:val="24"/>
          <w:lang w:eastAsia="es-CL"/>
        </w:rPr>
        <w:t xml:space="preserve">El año 2019, </w:t>
      </w:r>
      <w:r>
        <w:rPr>
          <w:rFonts w:eastAsia="Times New Roman" w:cstheme="minorHAnsi"/>
          <w:sz w:val="24"/>
          <w:szCs w:val="24"/>
          <w:lang w:eastAsia="es-CL"/>
        </w:rPr>
        <w:t>se dicta</w:t>
      </w:r>
      <w:r w:rsidRPr="00E3019A">
        <w:rPr>
          <w:rFonts w:eastAsia="Times New Roman" w:cstheme="minorHAnsi"/>
          <w:sz w:val="24"/>
          <w:szCs w:val="24"/>
          <w:lang w:eastAsia="es-CL"/>
        </w:rPr>
        <w:t xml:space="preserve"> </w:t>
      </w:r>
      <w:r>
        <w:rPr>
          <w:rFonts w:eastAsia="Times New Roman" w:cstheme="minorHAnsi"/>
          <w:sz w:val="24"/>
          <w:szCs w:val="24"/>
          <w:lang w:eastAsia="es-CL"/>
        </w:rPr>
        <w:t xml:space="preserve">la </w:t>
      </w:r>
      <w:r w:rsidRPr="00E3019A">
        <w:rPr>
          <w:rFonts w:eastAsia="Times New Roman" w:cstheme="minorHAnsi"/>
          <w:sz w:val="24"/>
          <w:szCs w:val="24"/>
          <w:lang w:eastAsia="es-CL"/>
        </w:rPr>
        <w:t xml:space="preserve">ley </w:t>
      </w:r>
      <w:r>
        <w:rPr>
          <w:rFonts w:eastAsia="Times New Roman" w:cstheme="minorHAnsi"/>
          <w:sz w:val="24"/>
          <w:szCs w:val="24"/>
          <w:lang w:eastAsia="es-CL"/>
        </w:rPr>
        <w:t>N°</w:t>
      </w:r>
      <w:r w:rsidRPr="00E3019A">
        <w:rPr>
          <w:rFonts w:eastAsia="Times New Roman" w:cstheme="minorHAnsi"/>
          <w:sz w:val="24"/>
          <w:szCs w:val="24"/>
          <w:lang w:eastAsia="es-CL"/>
        </w:rPr>
        <w:t>21.185</w:t>
      </w:r>
      <w:r>
        <w:rPr>
          <w:rFonts w:eastAsia="Times New Roman" w:cstheme="minorHAnsi"/>
          <w:sz w:val="24"/>
          <w:szCs w:val="24"/>
          <w:lang w:eastAsia="es-CL"/>
        </w:rPr>
        <w:t>, la cual</w:t>
      </w:r>
      <w:r w:rsidRPr="00E3019A">
        <w:rPr>
          <w:rFonts w:eastAsia="Times New Roman" w:cstheme="minorHAnsi"/>
          <w:sz w:val="24"/>
          <w:szCs w:val="24"/>
          <w:lang w:eastAsia="es-CL"/>
        </w:rPr>
        <w:t xml:space="preserve"> estableció un mecanismo transitorio que congeló las tarifas para los clientes regulados, el que permitiría evitar las alzas en el precio de la energía</w:t>
      </w:r>
      <w:r>
        <w:rPr>
          <w:rFonts w:eastAsia="Times New Roman" w:cstheme="minorHAnsi"/>
          <w:sz w:val="24"/>
          <w:szCs w:val="24"/>
          <w:lang w:eastAsia="es-CL"/>
        </w:rPr>
        <w:t xml:space="preserve"> producto de importantes alzas de los precios de combustibles y del dólar, bajo un contexto de convulsión social, que originó la necesidad de un acuerdo nacional por una Nueva Agenda Social.</w:t>
      </w:r>
    </w:p>
    <w:p w14:paraId="40D387B7" w14:textId="77777777" w:rsidR="001C0F4D" w:rsidRDefault="001C0F4D" w:rsidP="001C0F4D">
      <w:pPr>
        <w:jc w:val="both"/>
        <w:rPr>
          <w:rFonts w:eastAsia="Times New Roman" w:cstheme="minorHAnsi"/>
          <w:sz w:val="24"/>
          <w:szCs w:val="24"/>
          <w:lang w:eastAsia="es-CL"/>
        </w:rPr>
      </w:pPr>
      <w:r w:rsidRPr="006538CE">
        <w:rPr>
          <w:rFonts w:eastAsia="Times New Roman" w:cstheme="minorHAnsi"/>
          <w:sz w:val="24"/>
          <w:szCs w:val="24"/>
          <w:lang w:eastAsia="es-CL"/>
        </w:rPr>
        <w:t>Este mecanismo mantiene estabilizados los precios a clientes mientras se c</w:t>
      </w:r>
      <w:r w:rsidRPr="00E3019A">
        <w:rPr>
          <w:rFonts w:eastAsia="Times New Roman" w:cstheme="minorHAnsi"/>
          <w:sz w:val="24"/>
          <w:szCs w:val="24"/>
          <w:lang w:eastAsia="es-CL"/>
        </w:rPr>
        <w:t>ontabilizan</w:t>
      </w:r>
      <w:r>
        <w:rPr>
          <w:rFonts w:eastAsia="Times New Roman" w:cstheme="minorHAnsi"/>
          <w:sz w:val="24"/>
          <w:szCs w:val="24"/>
          <w:lang w:eastAsia="es-CL"/>
        </w:rPr>
        <w:t xml:space="preserve"> los</w:t>
      </w:r>
      <w:r w:rsidRPr="00E3019A">
        <w:rPr>
          <w:rFonts w:eastAsia="Times New Roman" w:cstheme="minorHAnsi"/>
          <w:sz w:val="24"/>
          <w:szCs w:val="24"/>
          <w:lang w:eastAsia="es-CL"/>
        </w:rPr>
        <w:t xml:space="preserve"> montos adeudados a los suministradores, los cuales serían pagados manteniendo el precio estabilizado al cliente a medida que los precios de la energía </w:t>
      </w:r>
      <w:r>
        <w:rPr>
          <w:rFonts w:eastAsia="Times New Roman" w:cstheme="minorHAnsi"/>
          <w:sz w:val="24"/>
          <w:szCs w:val="24"/>
          <w:lang w:eastAsia="es-CL"/>
        </w:rPr>
        <w:t xml:space="preserve">de los suministradores </w:t>
      </w:r>
      <w:r w:rsidRPr="00E3019A">
        <w:rPr>
          <w:rFonts w:eastAsia="Times New Roman" w:cstheme="minorHAnsi"/>
          <w:sz w:val="24"/>
          <w:szCs w:val="24"/>
          <w:lang w:eastAsia="es-CL"/>
        </w:rPr>
        <w:t>fueran disminuyendo. E</w:t>
      </w:r>
      <w:r>
        <w:rPr>
          <w:rFonts w:eastAsia="Times New Roman" w:cstheme="minorHAnsi"/>
          <w:sz w:val="24"/>
          <w:szCs w:val="24"/>
          <w:lang w:eastAsia="es-CL"/>
        </w:rPr>
        <w:t>l</w:t>
      </w:r>
      <w:r w:rsidRPr="00E3019A">
        <w:rPr>
          <w:rFonts w:eastAsia="Times New Roman" w:cstheme="minorHAnsi"/>
          <w:sz w:val="24"/>
          <w:szCs w:val="24"/>
          <w:lang w:eastAsia="es-CL"/>
        </w:rPr>
        <w:t xml:space="preserve"> mecanismo tiene vigencia hasta el </w:t>
      </w:r>
      <w:r>
        <w:rPr>
          <w:rFonts w:eastAsia="Times New Roman" w:cstheme="minorHAnsi"/>
          <w:sz w:val="24"/>
          <w:szCs w:val="24"/>
          <w:lang w:eastAsia="es-CL"/>
        </w:rPr>
        <w:t xml:space="preserve">año </w:t>
      </w:r>
      <w:r w:rsidRPr="00E3019A">
        <w:rPr>
          <w:rFonts w:eastAsia="Times New Roman" w:cstheme="minorHAnsi"/>
          <w:sz w:val="24"/>
          <w:szCs w:val="24"/>
          <w:lang w:eastAsia="es-CL"/>
        </w:rPr>
        <w:t xml:space="preserve">2027 y considera un máximo de 1.350 millones de dólares en montos adeudados a </w:t>
      </w:r>
      <w:r>
        <w:rPr>
          <w:rFonts w:eastAsia="Times New Roman" w:cstheme="minorHAnsi"/>
          <w:sz w:val="24"/>
          <w:szCs w:val="24"/>
          <w:lang w:eastAsia="es-CL"/>
        </w:rPr>
        <w:t xml:space="preserve">los </w:t>
      </w:r>
      <w:r w:rsidRPr="00E3019A">
        <w:rPr>
          <w:rFonts w:eastAsia="Times New Roman" w:cstheme="minorHAnsi"/>
          <w:sz w:val="24"/>
          <w:szCs w:val="24"/>
          <w:lang w:eastAsia="es-CL"/>
        </w:rPr>
        <w:t xml:space="preserve">suministradores. </w:t>
      </w:r>
      <w:r>
        <w:rPr>
          <w:rFonts w:eastAsia="Times New Roman" w:cstheme="minorHAnsi"/>
          <w:sz w:val="24"/>
          <w:szCs w:val="24"/>
          <w:lang w:eastAsia="es-CL"/>
        </w:rPr>
        <w:t>La CNE participó activamente en el diseño del mecanismo y del proyecto de ley correspondiente.</w:t>
      </w:r>
    </w:p>
    <w:p w14:paraId="0E0A5EF6" w14:textId="77777777" w:rsidR="001C0F4D" w:rsidRDefault="001C0F4D" w:rsidP="001C0F4D">
      <w:pPr>
        <w:jc w:val="both"/>
        <w:rPr>
          <w:rFonts w:eastAsia="Times New Roman" w:cstheme="minorHAnsi"/>
          <w:sz w:val="24"/>
          <w:szCs w:val="24"/>
          <w:lang w:eastAsia="es-CL"/>
        </w:rPr>
      </w:pPr>
      <w:r>
        <w:rPr>
          <w:rFonts w:eastAsia="Times New Roman" w:cstheme="minorHAnsi"/>
          <w:sz w:val="24"/>
          <w:szCs w:val="24"/>
          <w:lang w:eastAsia="es-CL"/>
        </w:rPr>
        <w:t>Durante el período 2020-2021 la CNE lleva a cabo la implementación del mecanismo de estabilización de precios. En marzo de 2020 dicta la Resolución Exenta N°72, que e</w:t>
      </w:r>
      <w:r w:rsidRPr="00330D12">
        <w:rPr>
          <w:rFonts w:eastAsia="Times New Roman" w:cstheme="minorHAnsi"/>
          <w:sz w:val="24"/>
          <w:szCs w:val="24"/>
          <w:lang w:eastAsia="es-CL"/>
        </w:rPr>
        <w:t>stablece disposiciones técnicas para la</w:t>
      </w:r>
      <w:r>
        <w:rPr>
          <w:rFonts w:eastAsia="Times New Roman" w:cstheme="minorHAnsi"/>
          <w:sz w:val="24"/>
          <w:szCs w:val="24"/>
          <w:lang w:eastAsia="es-CL"/>
        </w:rPr>
        <w:t xml:space="preserve"> </w:t>
      </w:r>
      <w:r w:rsidRPr="00330D12">
        <w:rPr>
          <w:rFonts w:eastAsia="Times New Roman" w:cstheme="minorHAnsi"/>
          <w:sz w:val="24"/>
          <w:szCs w:val="24"/>
          <w:lang w:eastAsia="es-CL"/>
        </w:rPr>
        <w:t xml:space="preserve">implementación de la Ley </w:t>
      </w:r>
      <w:proofErr w:type="spellStart"/>
      <w:r w:rsidRPr="00330D12">
        <w:rPr>
          <w:rFonts w:eastAsia="Times New Roman" w:cstheme="minorHAnsi"/>
          <w:sz w:val="24"/>
          <w:szCs w:val="24"/>
          <w:lang w:eastAsia="es-CL"/>
        </w:rPr>
        <w:t>N°</w:t>
      </w:r>
      <w:proofErr w:type="spellEnd"/>
      <w:r w:rsidRPr="00330D12">
        <w:rPr>
          <w:rFonts w:eastAsia="Times New Roman" w:cstheme="minorHAnsi"/>
          <w:sz w:val="24"/>
          <w:szCs w:val="24"/>
          <w:lang w:eastAsia="es-CL"/>
        </w:rPr>
        <w:t xml:space="preserve"> 21.185.</w:t>
      </w:r>
      <w:r>
        <w:rPr>
          <w:rFonts w:eastAsia="Times New Roman" w:cstheme="minorHAnsi"/>
          <w:sz w:val="24"/>
          <w:szCs w:val="24"/>
          <w:lang w:eastAsia="es-CL"/>
        </w:rPr>
        <w:t xml:space="preserve"> A su vez, semestralmente, a través de los Informes Técnicos de Precio de Nudo Promedio, la CNE fija las actualizaciones de los precios a clientes regulados y contabiliza los montos adeudados a los suministradores, de conformidad a las disposiciones de la Ley </w:t>
      </w:r>
      <w:proofErr w:type="spellStart"/>
      <w:r>
        <w:rPr>
          <w:rFonts w:eastAsia="Times New Roman" w:cstheme="minorHAnsi"/>
          <w:sz w:val="24"/>
          <w:szCs w:val="24"/>
          <w:lang w:eastAsia="es-CL"/>
        </w:rPr>
        <w:t>N°</w:t>
      </w:r>
      <w:proofErr w:type="spellEnd"/>
      <w:r>
        <w:rPr>
          <w:rFonts w:eastAsia="Times New Roman" w:cstheme="minorHAnsi"/>
          <w:sz w:val="24"/>
          <w:szCs w:val="24"/>
          <w:lang w:eastAsia="es-CL"/>
        </w:rPr>
        <w:t xml:space="preserve"> 21.185 y la Resolución Exenta N°72.</w:t>
      </w:r>
    </w:p>
    <w:p w14:paraId="3EE9B0ED" w14:textId="77777777" w:rsidR="001C0F4D" w:rsidRPr="00E3019A" w:rsidRDefault="001C0F4D" w:rsidP="001C0F4D">
      <w:pPr>
        <w:jc w:val="both"/>
        <w:rPr>
          <w:rFonts w:eastAsia="Times New Roman" w:cstheme="minorHAnsi"/>
          <w:sz w:val="24"/>
          <w:szCs w:val="24"/>
          <w:lang w:eastAsia="es-CL"/>
        </w:rPr>
      </w:pPr>
      <w:r>
        <w:rPr>
          <w:rFonts w:eastAsia="Times New Roman" w:cstheme="minorHAnsi"/>
          <w:sz w:val="24"/>
          <w:szCs w:val="24"/>
          <w:lang w:eastAsia="es-CL"/>
        </w:rPr>
        <w:t xml:space="preserve">La aplicación del señalado mecanismo ha logrado su objetivo hasta el momento de impedir el traspaso de alzas de tarifas durante el período 2018-2021 a raíz del alza en precios de los </w:t>
      </w:r>
      <w:r>
        <w:rPr>
          <w:rFonts w:eastAsia="Times New Roman" w:cstheme="minorHAnsi"/>
          <w:sz w:val="24"/>
          <w:szCs w:val="24"/>
          <w:lang w:eastAsia="es-CL"/>
        </w:rPr>
        <w:lastRenderedPageBreak/>
        <w:t xml:space="preserve">combustibles y del precio del dólar. De conformidad con el informe técnico elaborado por la CNE de noviembre de 2021, los saldos adeudados acumulan un monto de </w:t>
      </w:r>
      <w:r w:rsidRPr="00BF0004">
        <w:rPr>
          <w:rFonts w:eastAsia="Times New Roman" w:cstheme="minorHAnsi"/>
          <w:sz w:val="24"/>
          <w:szCs w:val="24"/>
          <w:lang w:eastAsia="es-CL"/>
        </w:rPr>
        <w:t>1.138</w:t>
      </w:r>
      <w:r>
        <w:rPr>
          <w:rFonts w:eastAsia="Times New Roman" w:cstheme="minorHAnsi"/>
          <w:sz w:val="24"/>
          <w:szCs w:val="24"/>
          <w:lang w:eastAsia="es-CL"/>
        </w:rPr>
        <w:t>,6 millones de dólares y se estima que el fondo se verá agotado para fines del primer semestre de 2022, debido principalmente a las mayores alzas experimentadas por el precio del dólar durante este período.</w:t>
      </w:r>
      <w:r w:rsidRPr="00E3019A">
        <w:rPr>
          <w:rFonts w:eastAsia="Times New Roman" w:cstheme="minorHAnsi"/>
          <w:sz w:val="24"/>
          <w:szCs w:val="24"/>
          <w:lang w:eastAsia="es-CL"/>
        </w:rPr>
        <w:t xml:space="preserve"> </w:t>
      </w:r>
    </w:p>
    <w:p w14:paraId="73CC345B" w14:textId="6C90E220" w:rsidR="00BA3237" w:rsidRPr="001C1758" w:rsidRDefault="00BA3237" w:rsidP="001C1758">
      <w:pPr>
        <w:pStyle w:val="Prrafodelista"/>
        <w:spacing w:before="100" w:beforeAutospacing="1" w:after="100" w:afterAutospacing="1" w:line="240" w:lineRule="auto"/>
        <w:ind w:left="360" w:hanging="360"/>
        <w:jc w:val="both"/>
        <w:rPr>
          <w:rFonts w:eastAsia="Times New Roman" w:cstheme="minorHAnsi"/>
          <w:b/>
          <w:bCs/>
          <w:sz w:val="24"/>
          <w:szCs w:val="24"/>
          <w:lang w:eastAsia="es-CL"/>
        </w:rPr>
      </w:pPr>
      <w:r w:rsidRPr="001C1758">
        <w:rPr>
          <w:rFonts w:eastAsia="Times New Roman" w:cstheme="minorHAnsi"/>
          <w:b/>
          <w:bCs/>
          <w:sz w:val="24"/>
          <w:szCs w:val="24"/>
          <w:lang w:eastAsia="es-CL"/>
        </w:rPr>
        <w:t>En el Ámbito del Monitoreo de Mercado</w:t>
      </w:r>
    </w:p>
    <w:p w14:paraId="321763AA" w14:textId="77777777" w:rsidR="005864F3" w:rsidRPr="00C804DC" w:rsidRDefault="005864F3" w:rsidP="005864F3">
      <w:pPr>
        <w:pStyle w:val="xmsonormal"/>
        <w:spacing w:after="160" w:line="252" w:lineRule="auto"/>
        <w:jc w:val="both"/>
        <w:rPr>
          <w:sz w:val="24"/>
          <w:szCs w:val="24"/>
          <w:lang w:val="es-CL"/>
        </w:rPr>
      </w:pPr>
      <w:r w:rsidRPr="00C804DC">
        <w:rPr>
          <w:sz w:val="24"/>
          <w:szCs w:val="24"/>
          <w:lang w:val="es-CL"/>
        </w:rPr>
        <w:t xml:space="preserve">A partir de la modificación de la Ley de Servicios de Gas, ley 21.999 promulgada en febrero de 2017, se establecieron las bases del </w:t>
      </w:r>
      <w:r>
        <w:rPr>
          <w:sz w:val="24"/>
          <w:szCs w:val="24"/>
          <w:lang w:val="es-CL"/>
        </w:rPr>
        <w:t>P</w:t>
      </w:r>
      <w:r w:rsidRPr="00C804DC">
        <w:rPr>
          <w:sz w:val="24"/>
          <w:szCs w:val="24"/>
          <w:lang w:val="es-CL"/>
        </w:rPr>
        <w:t xml:space="preserve">roceso de </w:t>
      </w:r>
      <w:r>
        <w:rPr>
          <w:sz w:val="24"/>
          <w:szCs w:val="24"/>
          <w:lang w:val="es-CL"/>
        </w:rPr>
        <w:t>C</w:t>
      </w:r>
      <w:r w:rsidRPr="00C804DC">
        <w:rPr>
          <w:sz w:val="24"/>
          <w:szCs w:val="24"/>
          <w:lang w:val="es-CL"/>
        </w:rPr>
        <w:t xml:space="preserve">hequeo </w:t>
      </w:r>
      <w:r>
        <w:rPr>
          <w:sz w:val="24"/>
          <w:szCs w:val="24"/>
          <w:lang w:val="es-CL"/>
        </w:rPr>
        <w:t>A</w:t>
      </w:r>
      <w:r w:rsidRPr="00C804DC">
        <w:rPr>
          <w:sz w:val="24"/>
          <w:szCs w:val="24"/>
          <w:lang w:val="es-CL"/>
        </w:rPr>
        <w:t xml:space="preserve">nual de </w:t>
      </w:r>
      <w:r>
        <w:rPr>
          <w:sz w:val="24"/>
          <w:szCs w:val="24"/>
          <w:lang w:val="es-CL"/>
        </w:rPr>
        <w:t>R</w:t>
      </w:r>
      <w:r w:rsidRPr="00C804DC">
        <w:rPr>
          <w:sz w:val="24"/>
          <w:szCs w:val="24"/>
          <w:lang w:val="es-CL"/>
        </w:rPr>
        <w:t xml:space="preserve">entabilidad para las </w:t>
      </w:r>
      <w:r>
        <w:rPr>
          <w:sz w:val="24"/>
          <w:szCs w:val="24"/>
          <w:lang w:val="es-CL"/>
        </w:rPr>
        <w:t>E</w:t>
      </w:r>
      <w:r w:rsidRPr="00C804DC">
        <w:rPr>
          <w:sz w:val="24"/>
          <w:szCs w:val="24"/>
          <w:lang w:val="es-CL"/>
        </w:rPr>
        <w:t xml:space="preserve">mpresas </w:t>
      </w:r>
      <w:r>
        <w:rPr>
          <w:sz w:val="24"/>
          <w:szCs w:val="24"/>
          <w:lang w:val="es-CL"/>
        </w:rPr>
        <w:t>C</w:t>
      </w:r>
      <w:r w:rsidRPr="00C804DC">
        <w:rPr>
          <w:sz w:val="24"/>
          <w:szCs w:val="24"/>
          <w:lang w:val="es-CL"/>
        </w:rPr>
        <w:t xml:space="preserve">oncesionarias de </w:t>
      </w:r>
      <w:r>
        <w:rPr>
          <w:sz w:val="24"/>
          <w:szCs w:val="24"/>
          <w:lang w:val="es-CL"/>
        </w:rPr>
        <w:t>D</w:t>
      </w:r>
      <w:r w:rsidRPr="00C804DC">
        <w:rPr>
          <w:sz w:val="24"/>
          <w:szCs w:val="24"/>
          <w:lang w:val="es-CL"/>
        </w:rPr>
        <w:t xml:space="preserve">istribución de </w:t>
      </w:r>
      <w:r>
        <w:rPr>
          <w:sz w:val="24"/>
          <w:szCs w:val="24"/>
          <w:lang w:val="es-CL"/>
        </w:rPr>
        <w:t>G</w:t>
      </w:r>
      <w:r w:rsidRPr="00C804DC">
        <w:rPr>
          <w:sz w:val="24"/>
          <w:szCs w:val="24"/>
          <w:lang w:val="es-CL"/>
        </w:rPr>
        <w:t xml:space="preserve">as, sujetas a una tasa de rentabilidad económica máxima para una determinada zona de concesión. </w:t>
      </w:r>
    </w:p>
    <w:p w14:paraId="46574175" w14:textId="77777777" w:rsidR="005864F3" w:rsidRPr="00C804DC" w:rsidRDefault="005864F3" w:rsidP="005864F3">
      <w:pPr>
        <w:pStyle w:val="xmsonormal"/>
        <w:spacing w:after="160" w:line="252" w:lineRule="auto"/>
        <w:jc w:val="both"/>
        <w:rPr>
          <w:sz w:val="24"/>
          <w:szCs w:val="24"/>
          <w:lang w:val="es-CL"/>
        </w:rPr>
      </w:pPr>
      <w:r w:rsidRPr="00C804DC">
        <w:rPr>
          <w:sz w:val="24"/>
          <w:szCs w:val="24"/>
          <w:lang w:val="es-CL"/>
        </w:rPr>
        <w:t>La Ley señala que las bases de dicho proceso quedarán establecidas en un reglamento, en el que además se indicaran los plazos y la forma de cómo deben informar las empresas. Como dicho reglamento aun no estaba elaborado en el momento de promulgar la Ley, se dictaron resoluciones exentas, que fueron las bases de los chequeos de rentabilidad efectuados entre los años 2017 – 2021, mientras se elaboraba el “Reglamento de Chequeo de Rentabilidad y Tarificación</w:t>
      </w:r>
      <w:r>
        <w:rPr>
          <w:sz w:val="24"/>
          <w:szCs w:val="24"/>
          <w:lang w:val="es-CL"/>
        </w:rPr>
        <w:t>”</w:t>
      </w:r>
      <w:r w:rsidRPr="00C804DC">
        <w:rPr>
          <w:sz w:val="24"/>
          <w:szCs w:val="24"/>
          <w:lang w:val="es-CL"/>
        </w:rPr>
        <w:t>, reglamento que a fines de 2021 se encuentra en su etapa final de revisión por parte de Contraloría General de República.</w:t>
      </w:r>
    </w:p>
    <w:p w14:paraId="1C76F109" w14:textId="77777777" w:rsidR="005864F3" w:rsidRPr="00C804DC" w:rsidRDefault="005864F3" w:rsidP="005864F3">
      <w:pPr>
        <w:pStyle w:val="xmsonormal"/>
        <w:spacing w:after="160" w:line="252" w:lineRule="auto"/>
        <w:jc w:val="both"/>
        <w:rPr>
          <w:sz w:val="24"/>
          <w:szCs w:val="24"/>
          <w:lang w:val="es-CL"/>
        </w:rPr>
      </w:pPr>
      <w:r w:rsidRPr="00C804DC">
        <w:rPr>
          <w:sz w:val="24"/>
          <w:szCs w:val="24"/>
          <w:lang w:val="es-CL"/>
        </w:rPr>
        <w:t>Por otra parte, es necesario señalar que durante los procesos del chequeo de rentabilidad efectuado</w:t>
      </w:r>
      <w:r>
        <w:rPr>
          <w:sz w:val="24"/>
          <w:szCs w:val="24"/>
          <w:lang w:val="es-CL"/>
        </w:rPr>
        <w:t>s</w:t>
      </w:r>
      <w:r w:rsidRPr="00C804DC">
        <w:rPr>
          <w:sz w:val="24"/>
          <w:szCs w:val="24"/>
          <w:lang w:val="es-CL"/>
        </w:rPr>
        <w:t xml:space="preserve"> entre los años 2018-2021, se han ido perfeccionando los manuales de Sistema de Cuentas, documento que establece la información que deben entregar las empresas concesionarias, así como la plataforma de recepción de la información.</w:t>
      </w:r>
    </w:p>
    <w:p w14:paraId="1A099D58" w14:textId="77777777" w:rsidR="005864F3" w:rsidRPr="00C804DC" w:rsidRDefault="005864F3" w:rsidP="005864F3">
      <w:pPr>
        <w:pStyle w:val="xmsonormal"/>
        <w:spacing w:after="160" w:line="252" w:lineRule="auto"/>
        <w:jc w:val="both"/>
        <w:rPr>
          <w:sz w:val="24"/>
          <w:szCs w:val="24"/>
          <w:lang w:val="es-CL"/>
        </w:rPr>
      </w:pPr>
      <w:r w:rsidRPr="00C804DC">
        <w:rPr>
          <w:sz w:val="24"/>
          <w:szCs w:val="24"/>
          <w:lang w:val="es-CL"/>
        </w:rPr>
        <w:t>La Ley de Servicios de Gas establece libertad tarifaria para las concesionarias de distribución, no obstante, se encuentran sometidas a una rentabilidad máxima permitida con el fin de no caer en un régimen de tarificación, revisión que realiza anualmente la Comisión a través del proceso</w:t>
      </w:r>
      <w:r>
        <w:rPr>
          <w:sz w:val="24"/>
          <w:szCs w:val="24"/>
          <w:lang w:val="es-CL"/>
        </w:rPr>
        <w:t xml:space="preserve"> </w:t>
      </w:r>
      <w:r w:rsidRPr="00C804DC">
        <w:rPr>
          <w:sz w:val="24"/>
          <w:szCs w:val="24"/>
          <w:lang w:val="es-CL"/>
        </w:rPr>
        <w:t>de Chequeo de Rentabilidad. Dicho límite de rentabilidad establecido en la Ley es la tasa de costo de capital más un spread de 3%, régimen que fue transitorio ya que el límite previo del spread era de 5%, lo que se consiguió rebajando de forma escalonada el spread en 0,5% anual, entrando en el régimen definitivo de spread de 3% el año 2021, la que fue aplicable a la rentabilidad de la empresa del año calendario 2020.</w:t>
      </w:r>
    </w:p>
    <w:p w14:paraId="7DE5FFD9" w14:textId="77777777" w:rsidR="005864F3" w:rsidRPr="00C804DC" w:rsidRDefault="005864F3" w:rsidP="005864F3">
      <w:pPr>
        <w:pStyle w:val="xmsonormal"/>
        <w:spacing w:after="160" w:line="252" w:lineRule="auto"/>
        <w:jc w:val="both"/>
        <w:rPr>
          <w:sz w:val="24"/>
          <w:szCs w:val="24"/>
          <w:lang w:val="es-CL"/>
        </w:rPr>
      </w:pPr>
      <w:r w:rsidRPr="00C804DC">
        <w:rPr>
          <w:sz w:val="24"/>
          <w:szCs w:val="24"/>
          <w:lang w:val="es-CL"/>
        </w:rPr>
        <w:t xml:space="preserve">Para llevar a cabo el proceso, la información de ingresos y costos de explotación, así como los costos de inversión remitida por las empresas, son revisados y corregidos con criterios de eficiencia. Para ello cada cuatro años se establecen los bienes considerados eficientes, para efectos de chequeo de rentabilidad, su vida útil, el valor nuevo de reemplazo (VNR) de éstos y su fórmula de indexación, junto con los indicadores de eficiencia para la actividad de distribución y el plazo de amortización de los gastos de comercialización eficientes que se aplicarán durante lo que reste del cuatrienio. </w:t>
      </w:r>
    </w:p>
    <w:p w14:paraId="7B952196" w14:textId="77777777" w:rsidR="005864F3" w:rsidRPr="00C804DC" w:rsidRDefault="005864F3" w:rsidP="005864F3">
      <w:pPr>
        <w:pStyle w:val="xmsonormal"/>
        <w:spacing w:after="160" w:line="252" w:lineRule="auto"/>
        <w:jc w:val="both"/>
        <w:rPr>
          <w:sz w:val="24"/>
          <w:szCs w:val="24"/>
          <w:lang w:val="es-CL"/>
        </w:rPr>
      </w:pPr>
      <w:r w:rsidRPr="00C804DC">
        <w:rPr>
          <w:sz w:val="24"/>
          <w:szCs w:val="24"/>
          <w:lang w:val="es-CL"/>
        </w:rPr>
        <w:lastRenderedPageBreak/>
        <w:t xml:space="preserve">El primer proceso de determinación de VNR se realizó el año 2017, mientras que, en el año 2021, se realizó el segundo estudio cuatrienal de Valor Nuevo de Reemplazo que será aplicable a los </w:t>
      </w:r>
      <w:r>
        <w:rPr>
          <w:sz w:val="24"/>
          <w:szCs w:val="24"/>
          <w:lang w:val="es-CL"/>
        </w:rPr>
        <w:t>procesos de C</w:t>
      </w:r>
      <w:r w:rsidRPr="00C804DC">
        <w:rPr>
          <w:sz w:val="24"/>
          <w:szCs w:val="24"/>
          <w:lang w:val="es-CL"/>
        </w:rPr>
        <w:t xml:space="preserve">hequeo de </w:t>
      </w:r>
      <w:r>
        <w:rPr>
          <w:sz w:val="24"/>
          <w:szCs w:val="24"/>
          <w:lang w:val="es-CL"/>
        </w:rPr>
        <w:t>R</w:t>
      </w:r>
      <w:r w:rsidRPr="00C804DC">
        <w:rPr>
          <w:sz w:val="24"/>
          <w:szCs w:val="24"/>
          <w:lang w:val="es-CL"/>
        </w:rPr>
        <w:t>entabilidad correspondientes a los años calendario 2022-2025. Respecto de la versión anterior (estudio cuatrienal de VNR de 2017), en el desarrollo de este estudio de VNR se contó con una mayor cantidad y calidad de información, así como con información histórica de la materialidad de rotura y reposición de pavimentos y costos de distintos activos, e información georreferenciada de las instalaciones de gas, pudiendo en consecuencia efectuarse un análisis de eficiencia en mayor profundidad y calidad. </w:t>
      </w:r>
    </w:p>
    <w:p w14:paraId="23367E24" w14:textId="28A71784" w:rsidR="005864F3" w:rsidRPr="00C804DC" w:rsidRDefault="005864F3" w:rsidP="005864F3">
      <w:pPr>
        <w:pStyle w:val="xmsonormal"/>
        <w:spacing w:after="160" w:line="252" w:lineRule="auto"/>
        <w:jc w:val="both"/>
        <w:rPr>
          <w:sz w:val="24"/>
          <w:szCs w:val="24"/>
          <w:lang w:val="es-CL"/>
        </w:rPr>
      </w:pPr>
      <w:r w:rsidRPr="00C804DC">
        <w:rPr>
          <w:sz w:val="24"/>
          <w:szCs w:val="24"/>
          <w:lang w:val="es-CL"/>
        </w:rPr>
        <w:t>Con respecto los resultados obtenidos, las rentabilidades promedio a partir del año 2018, son</w:t>
      </w:r>
      <w:r w:rsidR="00A4111E">
        <w:rPr>
          <w:sz w:val="24"/>
          <w:szCs w:val="24"/>
          <w:lang w:val="es-CL"/>
        </w:rPr>
        <w:t>:</w:t>
      </w:r>
    </w:p>
    <w:tbl>
      <w:tblPr>
        <w:tblStyle w:val="Tablaconcuadrcula"/>
        <w:tblW w:w="0" w:type="auto"/>
        <w:tblLook w:val="04A0" w:firstRow="1" w:lastRow="0" w:firstColumn="1" w:lastColumn="0" w:noHBand="0" w:noVBand="1"/>
      </w:tblPr>
      <w:tblGrid>
        <w:gridCol w:w="1465"/>
        <w:gridCol w:w="1082"/>
        <w:gridCol w:w="1911"/>
        <w:gridCol w:w="1456"/>
        <w:gridCol w:w="1457"/>
        <w:gridCol w:w="1457"/>
      </w:tblGrid>
      <w:tr w:rsidR="00A4111E" w14:paraId="7957AE40" w14:textId="77777777" w:rsidTr="004E0786">
        <w:trPr>
          <w:trHeight w:val="285"/>
        </w:trPr>
        <w:tc>
          <w:tcPr>
            <w:tcW w:w="1465" w:type="dxa"/>
            <w:vMerge w:val="restart"/>
            <w:vAlign w:val="center"/>
          </w:tcPr>
          <w:p w14:paraId="18434CAA" w14:textId="333436C3" w:rsidR="00A4111E" w:rsidRDefault="00A4111E" w:rsidP="004E0786">
            <w:pPr>
              <w:pStyle w:val="xmsonormal"/>
              <w:jc w:val="center"/>
              <w:rPr>
                <w:lang w:val="es-CL"/>
              </w:rPr>
            </w:pPr>
            <w:r w:rsidRPr="00E21307">
              <w:rPr>
                <w:b/>
                <w:bCs/>
                <w:lang w:val="es-CL"/>
              </w:rPr>
              <w:t>Empresa</w:t>
            </w:r>
          </w:p>
        </w:tc>
        <w:tc>
          <w:tcPr>
            <w:tcW w:w="1082" w:type="dxa"/>
            <w:vMerge w:val="restart"/>
            <w:vAlign w:val="center"/>
          </w:tcPr>
          <w:p w14:paraId="68E0D0CD" w14:textId="77777777" w:rsidR="00A4111E" w:rsidRDefault="00A4111E" w:rsidP="004E0786">
            <w:pPr>
              <w:pStyle w:val="xmsonormal"/>
              <w:jc w:val="center"/>
              <w:rPr>
                <w:lang w:val="es-CL"/>
              </w:rPr>
            </w:pPr>
            <w:r w:rsidRPr="00E21307">
              <w:rPr>
                <w:b/>
                <w:bCs/>
                <w:lang w:val="es-CL"/>
              </w:rPr>
              <w:t>ZC</w:t>
            </w:r>
          </w:p>
        </w:tc>
        <w:tc>
          <w:tcPr>
            <w:tcW w:w="1911" w:type="dxa"/>
            <w:vMerge w:val="restart"/>
            <w:vAlign w:val="center"/>
          </w:tcPr>
          <w:p w14:paraId="13B72769" w14:textId="77777777" w:rsidR="00A4111E" w:rsidRPr="00E21307" w:rsidRDefault="00A4111E" w:rsidP="004E0786">
            <w:pPr>
              <w:pStyle w:val="xmsonormal"/>
              <w:spacing w:line="252" w:lineRule="auto"/>
              <w:jc w:val="center"/>
              <w:rPr>
                <w:b/>
                <w:bCs/>
                <w:lang w:val="es-CL"/>
              </w:rPr>
            </w:pPr>
            <w:r w:rsidRPr="00E21307">
              <w:rPr>
                <w:b/>
                <w:bCs/>
                <w:lang w:val="es-CL"/>
              </w:rPr>
              <w:t>Rentabilidad</w:t>
            </w:r>
          </w:p>
        </w:tc>
        <w:tc>
          <w:tcPr>
            <w:tcW w:w="4370" w:type="dxa"/>
            <w:gridSpan w:val="3"/>
          </w:tcPr>
          <w:p w14:paraId="746F9FF0" w14:textId="77777777" w:rsidR="00A4111E" w:rsidRPr="00E21307" w:rsidRDefault="00A4111E" w:rsidP="004E0786">
            <w:pPr>
              <w:pStyle w:val="xmsonormal"/>
              <w:spacing w:line="252" w:lineRule="auto"/>
              <w:jc w:val="center"/>
              <w:rPr>
                <w:b/>
                <w:bCs/>
                <w:lang w:val="es-CL"/>
              </w:rPr>
            </w:pPr>
            <w:r w:rsidRPr="00E21307">
              <w:rPr>
                <w:b/>
                <w:bCs/>
                <w:lang w:val="es-CL"/>
              </w:rPr>
              <w:t>Promedio</w:t>
            </w:r>
          </w:p>
        </w:tc>
      </w:tr>
      <w:tr w:rsidR="00A4111E" w14:paraId="5A36E933" w14:textId="77777777" w:rsidTr="004E0786">
        <w:trPr>
          <w:trHeight w:val="406"/>
        </w:trPr>
        <w:tc>
          <w:tcPr>
            <w:tcW w:w="1465" w:type="dxa"/>
            <w:vMerge/>
          </w:tcPr>
          <w:p w14:paraId="33C4B507" w14:textId="77777777" w:rsidR="00A4111E" w:rsidRPr="00E21307" w:rsidRDefault="00A4111E" w:rsidP="004E0786">
            <w:pPr>
              <w:pStyle w:val="xmsonormal"/>
              <w:jc w:val="center"/>
              <w:rPr>
                <w:b/>
                <w:bCs/>
                <w:lang w:val="es-CL"/>
              </w:rPr>
            </w:pPr>
          </w:p>
        </w:tc>
        <w:tc>
          <w:tcPr>
            <w:tcW w:w="1082" w:type="dxa"/>
            <w:vMerge/>
          </w:tcPr>
          <w:p w14:paraId="1C61970D" w14:textId="77777777" w:rsidR="00A4111E" w:rsidRPr="00E21307" w:rsidRDefault="00A4111E" w:rsidP="004E0786">
            <w:pPr>
              <w:pStyle w:val="xmsonormal"/>
              <w:jc w:val="center"/>
              <w:rPr>
                <w:b/>
                <w:bCs/>
                <w:lang w:val="es-CL"/>
              </w:rPr>
            </w:pPr>
          </w:p>
        </w:tc>
        <w:tc>
          <w:tcPr>
            <w:tcW w:w="1911" w:type="dxa"/>
            <w:vMerge/>
          </w:tcPr>
          <w:p w14:paraId="66EC8877" w14:textId="77777777" w:rsidR="00A4111E" w:rsidRPr="00E21307" w:rsidRDefault="00A4111E" w:rsidP="004E0786">
            <w:pPr>
              <w:pStyle w:val="xmsonormal"/>
              <w:jc w:val="center"/>
              <w:rPr>
                <w:b/>
                <w:bCs/>
                <w:lang w:val="es-CL"/>
              </w:rPr>
            </w:pPr>
          </w:p>
        </w:tc>
        <w:tc>
          <w:tcPr>
            <w:tcW w:w="1456" w:type="dxa"/>
          </w:tcPr>
          <w:p w14:paraId="1B3C26A8" w14:textId="77777777" w:rsidR="00A4111E" w:rsidRPr="00E21307" w:rsidRDefault="00A4111E" w:rsidP="004E0786">
            <w:pPr>
              <w:pStyle w:val="xmsonormal"/>
              <w:jc w:val="center"/>
              <w:rPr>
                <w:b/>
                <w:bCs/>
                <w:lang w:val="es-CL"/>
              </w:rPr>
            </w:pPr>
            <w:r w:rsidRPr="00E21307">
              <w:rPr>
                <w:b/>
                <w:bCs/>
                <w:lang w:val="es-CL"/>
              </w:rPr>
              <w:t>2016 - 2018</w:t>
            </w:r>
          </w:p>
        </w:tc>
        <w:tc>
          <w:tcPr>
            <w:tcW w:w="1457" w:type="dxa"/>
          </w:tcPr>
          <w:p w14:paraId="6DA3C44F" w14:textId="77777777" w:rsidR="00A4111E" w:rsidRPr="00E21307" w:rsidRDefault="00A4111E" w:rsidP="004E0786">
            <w:pPr>
              <w:pStyle w:val="xmsonormal"/>
              <w:jc w:val="center"/>
              <w:rPr>
                <w:b/>
                <w:bCs/>
                <w:lang w:val="es-CL"/>
              </w:rPr>
            </w:pPr>
            <w:r w:rsidRPr="00E21307">
              <w:rPr>
                <w:b/>
                <w:bCs/>
                <w:lang w:val="es-CL"/>
              </w:rPr>
              <w:t>2017 - 2019</w:t>
            </w:r>
          </w:p>
        </w:tc>
        <w:tc>
          <w:tcPr>
            <w:tcW w:w="1457" w:type="dxa"/>
          </w:tcPr>
          <w:p w14:paraId="3EAEFD44" w14:textId="77777777" w:rsidR="00A4111E" w:rsidRPr="00E21307" w:rsidRDefault="00A4111E" w:rsidP="004E0786">
            <w:pPr>
              <w:pStyle w:val="xmsonormal"/>
              <w:jc w:val="center"/>
              <w:rPr>
                <w:b/>
                <w:bCs/>
                <w:lang w:val="es-CL"/>
              </w:rPr>
            </w:pPr>
            <w:r w:rsidRPr="00E21307">
              <w:rPr>
                <w:b/>
                <w:bCs/>
                <w:lang w:val="es-CL"/>
              </w:rPr>
              <w:t>2018 - 2020</w:t>
            </w:r>
          </w:p>
        </w:tc>
      </w:tr>
      <w:tr w:rsidR="00A4111E" w14:paraId="35ED3F50" w14:textId="77777777" w:rsidTr="004E0786">
        <w:trPr>
          <w:trHeight w:val="228"/>
        </w:trPr>
        <w:tc>
          <w:tcPr>
            <w:tcW w:w="1465" w:type="dxa"/>
            <w:vMerge w:val="restart"/>
            <w:vAlign w:val="center"/>
          </w:tcPr>
          <w:p w14:paraId="079D3F05" w14:textId="77777777" w:rsidR="00A4111E" w:rsidRPr="00E21307" w:rsidRDefault="00A4111E" w:rsidP="004E0786">
            <w:pPr>
              <w:pStyle w:val="xmsonormal"/>
              <w:jc w:val="center"/>
              <w:rPr>
                <w:lang w:val="es-CL"/>
              </w:rPr>
            </w:pPr>
            <w:r w:rsidRPr="00E21307">
              <w:rPr>
                <w:lang w:val="es-CL"/>
              </w:rPr>
              <w:t>Metrogas</w:t>
            </w:r>
          </w:p>
        </w:tc>
        <w:tc>
          <w:tcPr>
            <w:tcW w:w="1082" w:type="dxa"/>
            <w:vMerge w:val="restart"/>
            <w:vAlign w:val="center"/>
          </w:tcPr>
          <w:p w14:paraId="36874F1A" w14:textId="77777777" w:rsidR="00A4111E" w:rsidRPr="00E21307" w:rsidRDefault="00A4111E" w:rsidP="004E0786">
            <w:pPr>
              <w:pStyle w:val="xmsonormal"/>
              <w:jc w:val="center"/>
              <w:rPr>
                <w:lang w:val="es-CL"/>
              </w:rPr>
            </w:pPr>
            <w:r w:rsidRPr="00E21307">
              <w:rPr>
                <w:lang w:val="es-CL"/>
              </w:rPr>
              <w:t>RM</w:t>
            </w:r>
          </w:p>
        </w:tc>
        <w:tc>
          <w:tcPr>
            <w:tcW w:w="1911" w:type="dxa"/>
          </w:tcPr>
          <w:p w14:paraId="7FF25954" w14:textId="77777777" w:rsidR="00A4111E" w:rsidRPr="00E21307" w:rsidRDefault="00A4111E" w:rsidP="004E0786">
            <w:pPr>
              <w:pStyle w:val="xmsonormal"/>
              <w:jc w:val="center"/>
              <w:rPr>
                <w:lang w:val="es-CL"/>
              </w:rPr>
            </w:pPr>
            <w:r w:rsidRPr="00E21307">
              <w:rPr>
                <w:lang w:val="es-CL"/>
              </w:rPr>
              <w:t>Rentabilidades</w:t>
            </w:r>
          </w:p>
        </w:tc>
        <w:tc>
          <w:tcPr>
            <w:tcW w:w="1456" w:type="dxa"/>
          </w:tcPr>
          <w:p w14:paraId="0F59F743" w14:textId="77777777" w:rsidR="00A4111E" w:rsidRDefault="00A4111E" w:rsidP="004E0786">
            <w:pPr>
              <w:pStyle w:val="xmsonormal"/>
              <w:jc w:val="center"/>
              <w:rPr>
                <w:lang w:val="es-CL"/>
              </w:rPr>
            </w:pPr>
            <w:r>
              <w:rPr>
                <w:lang w:val="es-CL"/>
              </w:rPr>
              <w:t>8,82%</w:t>
            </w:r>
          </w:p>
        </w:tc>
        <w:tc>
          <w:tcPr>
            <w:tcW w:w="1457" w:type="dxa"/>
          </w:tcPr>
          <w:p w14:paraId="096F6FAE" w14:textId="77777777" w:rsidR="00A4111E" w:rsidRDefault="00A4111E" w:rsidP="004E0786">
            <w:pPr>
              <w:pStyle w:val="xmsonormal"/>
              <w:jc w:val="center"/>
              <w:rPr>
                <w:lang w:val="es-CL"/>
              </w:rPr>
            </w:pPr>
            <w:r>
              <w:rPr>
                <w:lang w:val="es-CL"/>
              </w:rPr>
              <w:t>8,71%</w:t>
            </w:r>
          </w:p>
        </w:tc>
        <w:tc>
          <w:tcPr>
            <w:tcW w:w="1457" w:type="dxa"/>
          </w:tcPr>
          <w:p w14:paraId="131C0B61" w14:textId="77777777" w:rsidR="00A4111E" w:rsidRDefault="00A4111E" w:rsidP="004E0786">
            <w:pPr>
              <w:pStyle w:val="xmsonormal"/>
              <w:jc w:val="center"/>
              <w:rPr>
                <w:lang w:val="es-CL"/>
              </w:rPr>
            </w:pPr>
            <w:r>
              <w:rPr>
                <w:lang w:val="es-CL"/>
              </w:rPr>
              <w:t>8,47%</w:t>
            </w:r>
          </w:p>
        </w:tc>
      </w:tr>
      <w:tr w:rsidR="00A4111E" w14:paraId="3943F8BA" w14:textId="77777777" w:rsidTr="004E0786">
        <w:tc>
          <w:tcPr>
            <w:tcW w:w="1465" w:type="dxa"/>
            <w:vMerge/>
            <w:vAlign w:val="center"/>
          </w:tcPr>
          <w:p w14:paraId="69A2A6F1" w14:textId="77777777" w:rsidR="00A4111E" w:rsidRPr="00E21307" w:rsidRDefault="00A4111E" w:rsidP="004E0786">
            <w:pPr>
              <w:pStyle w:val="xmsonormal"/>
              <w:jc w:val="center"/>
              <w:rPr>
                <w:lang w:val="es-CL"/>
              </w:rPr>
            </w:pPr>
          </w:p>
        </w:tc>
        <w:tc>
          <w:tcPr>
            <w:tcW w:w="1082" w:type="dxa"/>
            <w:vMerge/>
            <w:vAlign w:val="center"/>
          </w:tcPr>
          <w:p w14:paraId="1FEB6550" w14:textId="77777777" w:rsidR="00A4111E" w:rsidRPr="00E21307" w:rsidRDefault="00A4111E" w:rsidP="004E0786">
            <w:pPr>
              <w:pStyle w:val="xmsonormal"/>
              <w:jc w:val="center"/>
              <w:rPr>
                <w:lang w:val="es-CL"/>
              </w:rPr>
            </w:pPr>
          </w:p>
        </w:tc>
        <w:tc>
          <w:tcPr>
            <w:tcW w:w="1911" w:type="dxa"/>
          </w:tcPr>
          <w:p w14:paraId="249A67E9" w14:textId="77777777" w:rsidR="00A4111E" w:rsidRPr="00E21307" w:rsidRDefault="00A4111E" w:rsidP="004E0786">
            <w:pPr>
              <w:pStyle w:val="xmsonormal"/>
              <w:jc w:val="center"/>
              <w:rPr>
                <w:lang w:val="es-CL"/>
              </w:rPr>
            </w:pPr>
            <w:r w:rsidRPr="00E21307">
              <w:rPr>
                <w:lang w:val="es-CL"/>
              </w:rPr>
              <w:t>Max. Permitida</w:t>
            </w:r>
          </w:p>
        </w:tc>
        <w:tc>
          <w:tcPr>
            <w:tcW w:w="1456" w:type="dxa"/>
          </w:tcPr>
          <w:p w14:paraId="529111D0" w14:textId="77777777" w:rsidR="00A4111E" w:rsidRDefault="00A4111E" w:rsidP="004E0786">
            <w:pPr>
              <w:pStyle w:val="xmsonormal"/>
              <w:jc w:val="center"/>
              <w:rPr>
                <w:lang w:val="es-CL"/>
              </w:rPr>
            </w:pPr>
            <w:r>
              <w:rPr>
                <w:lang w:val="es-CL"/>
              </w:rPr>
              <w:t>10,00%</w:t>
            </w:r>
          </w:p>
        </w:tc>
        <w:tc>
          <w:tcPr>
            <w:tcW w:w="1457" w:type="dxa"/>
          </w:tcPr>
          <w:p w14:paraId="22652CEF" w14:textId="77777777" w:rsidR="00A4111E" w:rsidRDefault="00A4111E" w:rsidP="004E0786">
            <w:pPr>
              <w:pStyle w:val="xmsonormal"/>
              <w:jc w:val="center"/>
              <w:rPr>
                <w:lang w:val="es-CL"/>
              </w:rPr>
            </w:pPr>
            <w:r>
              <w:rPr>
                <w:lang w:val="es-CL"/>
              </w:rPr>
              <w:t>9,50%</w:t>
            </w:r>
          </w:p>
        </w:tc>
        <w:tc>
          <w:tcPr>
            <w:tcW w:w="1457" w:type="dxa"/>
          </w:tcPr>
          <w:p w14:paraId="1E799488" w14:textId="77777777" w:rsidR="00A4111E" w:rsidRDefault="00A4111E" w:rsidP="004E0786">
            <w:pPr>
              <w:pStyle w:val="xmsonormal"/>
              <w:jc w:val="center"/>
              <w:rPr>
                <w:lang w:val="es-CL"/>
              </w:rPr>
            </w:pPr>
            <w:r>
              <w:rPr>
                <w:lang w:val="es-CL"/>
              </w:rPr>
              <w:t>9,00%</w:t>
            </w:r>
          </w:p>
        </w:tc>
      </w:tr>
      <w:tr w:rsidR="00A4111E" w14:paraId="49B958DF" w14:textId="77777777" w:rsidTr="004E0786">
        <w:tc>
          <w:tcPr>
            <w:tcW w:w="1465" w:type="dxa"/>
            <w:vMerge w:val="restart"/>
            <w:vAlign w:val="center"/>
          </w:tcPr>
          <w:p w14:paraId="7FA9D0CE" w14:textId="77777777" w:rsidR="00A4111E" w:rsidRPr="00E21307" w:rsidRDefault="00A4111E" w:rsidP="004E0786">
            <w:pPr>
              <w:pStyle w:val="xmsonormal"/>
              <w:jc w:val="center"/>
              <w:rPr>
                <w:lang w:val="es-CL"/>
              </w:rPr>
            </w:pPr>
            <w:proofErr w:type="spellStart"/>
            <w:r w:rsidRPr="00E21307">
              <w:rPr>
                <w:lang w:val="es-CL"/>
              </w:rPr>
              <w:t>Gasvalpo</w:t>
            </w:r>
            <w:proofErr w:type="spellEnd"/>
          </w:p>
        </w:tc>
        <w:tc>
          <w:tcPr>
            <w:tcW w:w="1082" w:type="dxa"/>
            <w:vMerge w:val="restart"/>
            <w:vAlign w:val="center"/>
          </w:tcPr>
          <w:p w14:paraId="30BC7BDA" w14:textId="77777777" w:rsidR="00A4111E" w:rsidRPr="00E21307" w:rsidRDefault="00A4111E" w:rsidP="004E0786">
            <w:pPr>
              <w:pStyle w:val="xmsonormal"/>
              <w:jc w:val="center"/>
              <w:rPr>
                <w:lang w:val="es-CL"/>
              </w:rPr>
            </w:pPr>
            <w:r w:rsidRPr="00E21307">
              <w:rPr>
                <w:lang w:val="es-CL"/>
              </w:rPr>
              <w:t>V</w:t>
            </w:r>
          </w:p>
        </w:tc>
        <w:tc>
          <w:tcPr>
            <w:tcW w:w="1911" w:type="dxa"/>
          </w:tcPr>
          <w:p w14:paraId="49E82E57" w14:textId="77777777" w:rsidR="00A4111E" w:rsidRPr="00E21307" w:rsidRDefault="00A4111E" w:rsidP="004E0786">
            <w:pPr>
              <w:pStyle w:val="xmsonormal"/>
              <w:jc w:val="center"/>
              <w:rPr>
                <w:lang w:val="es-CL"/>
              </w:rPr>
            </w:pPr>
            <w:r w:rsidRPr="00E21307">
              <w:rPr>
                <w:lang w:val="es-CL"/>
              </w:rPr>
              <w:t>Rentabilidades</w:t>
            </w:r>
          </w:p>
        </w:tc>
        <w:tc>
          <w:tcPr>
            <w:tcW w:w="1456" w:type="dxa"/>
          </w:tcPr>
          <w:p w14:paraId="6B4698C5" w14:textId="77777777" w:rsidR="00A4111E" w:rsidRDefault="00A4111E" w:rsidP="004E0786">
            <w:pPr>
              <w:pStyle w:val="xmsonormal"/>
              <w:jc w:val="center"/>
              <w:rPr>
                <w:lang w:val="es-CL"/>
              </w:rPr>
            </w:pPr>
            <w:r>
              <w:rPr>
                <w:lang w:val="es-CL"/>
              </w:rPr>
              <w:t>4,97%</w:t>
            </w:r>
          </w:p>
        </w:tc>
        <w:tc>
          <w:tcPr>
            <w:tcW w:w="1457" w:type="dxa"/>
          </w:tcPr>
          <w:p w14:paraId="0E5F9D41" w14:textId="77777777" w:rsidR="00A4111E" w:rsidRDefault="00A4111E" w:rsidP="004E0786">
            <w:pPr>
              <w:pStyle w:val="xmsonormal"/>
              <w:jc w:val="center"/>
              <w:rPr>
                <w:lang w:val="es-CL"/>
              </w:rPr>
            </w:pPr>
            <w:r>
              <w:rPr>
                <w:lang w:val="es-CL"/>
              </w:rPr>
              <w:t>5,42%</w:t>
            </w:r>
          </w:p>
        </w:tc>
        <w:tc>
          <w:tcPr>
            <w:tcW w:w="1457" w:type="dxa"/>
          </w:tcPr>
          <w:p w14:paraId="05207872" w14:textId="77777777" w:rsidR="00A4111E" w:rsidRDefault="00A4111E" w:rsidP="004E0786">
            <w:pPr>
              <w:pStyle w:val="xmsonormal"/>
              <w:jc w:val="center"/>
              <w:rPr>
                <w:lang w:val="es-CL"/>
              </w:rPr>
            </w:pPr>
            <w:r>
              <w:rPr>
                <w:lang w:val="es-CL"/>
              </w:rPr>
              <w:t>5,62%</w:t>
            </w:r>
          </w:p>
        </w:tc>
      </w:tr>
      <w:tr w:rsidR="00A4111E" w14:paraId="317E3557" w14:textId="77777777" w:rsidTr="004E0786">
        <w:tc>
          <w:tcPr>
            <w:tcW w:w="1465" w:type="dxa"/>
            <w:vMerge/>
            <w:vAlign w:val="center"/>
          </w:tcPr>
          <w:p w14:paraId="66934A56" w14:textId="77777777" w:rsidR="00A4111E" w:rsidRPr="00E21307" w:rsidRDefault="00A4111E" w:rsidP="004E0786">
            <w:pPr>
              <w:pStyle w:val="xmsonormal"/>
              <w:jc w:val="center"/>
              <w:rPr>
                <w:lang w:val="es-CL"/>
              </w:rPr>
            </w:pPr>
          </w:p>
        </w:tc>
        <w:tc>
          <w:tcPr>
            <w:tcW w:w="1082" w:type="dxa"/>
            <w:vMerge/>
            <w:vAlign w:val="center"/>
          </w:tcPr>
          <w:p w14:paraId="3B97B197" w14:textId="77777777" w:rsidR="00A4111E" w:rsidRPr="00E21307" w:rsidRDefault="00A4111E" w:rsidP="004E0786">
            <w:pPr>
              <w:pStyle w:val="xmsonormal"/>
              <w:jc w:val="center"/>
              <w:rPr>
                <w:lang w:val="es-CL"/>
              </w:rPr>
            </w:pPr>
          </w:p>
        </w:tc>
        <w:tc>
          <w:tcPr>
            <w:tcW w:w="1911" w:type="dxa"/>
          </w:tcPr>
          <w:p w14:paraId="4584BA5B" w14:textId="77777777" w:rsidR="00A4111E" w:rsidRPr="00E21307" w:rsidRDefault="00A4111E" w:rsidP="004E0786">
            <w:pPr>
              <w:pStyle w:val="xmsonormal"/>
              <w:jc w:val="center"/>
              <w:rPr>
                <w:lang w:val="es-CL"/>
              </w:rPr>
            </w:pPr>
            <w:r w:rsidRPr="00E21307">
              <w:rPr>
                <w:lang w:val="es-CL"/>
              </w:rPr>
              <w:t>Max. Permitida</w:t>
            </w:r>
          </w:p>
        </w:tc>
        <w:tc>
          <w:tcPr>
            <w:tcW w:w="1456" w:type="dxa"/>
          </w:tcPr>
          <w:p w14:paraId="0FEE205C" w14:textId="77777777" w:rsidR="00A4111E" w:rsidRDefault="00A4111E" w:rsidP="004E0786">
            <w:pPr>
              <w:pStyle w:val="xmsonormal"/>
              <w:jc w:val="center"/>
              <w:rPr>
                <w:lang w:val="es-CL"/>
              </w:rPr>
            </w:pPr>
            <w:r>
              <w:rPr>
                <w:lang w:val="es-CL"/>
              </w:rPr>
              <w:t>10,16%</w:t>
            </w:r>
          </w:p>
        </w:tc>
        <w:tc>
          <w:tcPr>
            <w:tcW w:w="1457" w:type="dxa"/>
          </w:tcPr>
          <w:p w14:paraId="3D5C2118" w14:textId="77777777" w:rsidR="00A4111E" w:rsidRDefault="00A4111E" w:rsidP="004E0786">
            <w:pPr>
              <w:pStyle w:val="xmsonormal"/>
              <w:jc w:val="center"/>
              <w:rPr>
                <w:lang w:val="es-CL"/>
              </w:rPr>
            </w:pPr>
            <w:r>
              <w:rPr>
                <w:lang w:val="es-CL"/>
              </w:rPr>
              <w:t>9,83%</w:t>
            </w:r>
          </w:p>
        </w:tc>
        <w:tc>
          <w:tcPr>
            <w:tcW w:w="1457" w:type="dxa"/>
          </w:tcPr>
          <w:p w14:paraId="126E6DFD" w14:textId="77777777" w:rsidR="00A4111E" w:rsidRDefault="00A4111E" w:rsidP="004E0786">
            <w:pPr>
              <w:pStyle w:val="xmsonormal"/>
              <w:jc w:val="center"/>
              <w:rPr>
                <w:lang w:val="es-CL"/>
              </w:rPr>
            </w:pPr>
            <w:r>
              <w:rPr>
                <w:lang w:val="es-CL"/>
              </w:rPr>
              <w:t>9,33%</w:t>
            </w:r>
          </w:p>
        </w:tc>
      </w:tr>
      <w:tr w:rsidR="00A4111E" w14:paraId="4DB7BB9A" w14:textId="77777777" w:rsidTr="004E0786">
        <w:tc>
          <w:tcPr>
            <w:tcW w:w="1465" w:type="dxa"/>
            <w:vMerge w:val="restart"/>
            <w:vAlign w:val="center"/>
          </w:tcPr>
          <w:p w14:paraId="51D10772" w14:textId="77777777" w:rsidR="00A4111E" w:rsidRPr="00E21307" w:rsidRDefault="00A4111E" w:rsidP="004E0786">
            <w:pPr>
              <w:pStyle w:val="xmsonormal"/>
              <w:jc w:val="center"/>
              <w:rPr>
                <w:lang w:val="es-CL"/>
              </w:rPr>
            </w:pPr>
            <w:proofErr w:type="spellStart"/>
            <w:r w:rsidRPr="00E21307">
              <w:rPr>
                <w:lang w:val="es-CL"/>
              </w:rPr>
              <w:t>Gassur</w:t>
            </w:r>
            <w:proofErr w:type="spellEnd"/>
          </w:p>
        </w:tc>
        <w:tc>
          <w:tcPr>
            <w:tcW w:w="1082" w:type="dxa"/>
            <w:vMerge w:val="restart"/>
            <w:vAlign w:val="center"/>
          </w:tcPr>
          <w:p w14:paraId="5B178D22" w14:textId="77777777" w:rsidR="00A4111E" w:rsidRPr="00E21307" w:rsidRDefault="00A4111E" w:rsidP="004E0786">
            <w:pPr>
              <w:pStyle w:val="xmsonormal"/>
              <w:jc w:val="center"/>
              <w:rPr>
                <w:lang w:val="es-CL"/>
              </w:rPr>
            </w:pPr>
            <w:r w:rsidRPr="00E21307">
              <w:rPr>
                <w:lang w:val="es-CL"/>
              </w:rPr>
              <w:t>VIII</w:t>
            </w:r>
          </w:p>
        </w:tc>
        <w:tc>
          <w:tcPr>
            <w:tcW w:w="1911" w:type="dxa"/>
          </w:tcPr>
          <w:p w14:paraId="318E40B2" w14:textId="77777777" w:rsidR="00A4111E" w:rsidRPr="00E21307" w:rsidRDefault="00A4111E" w:rsidP="004E0786">
            <w:pPr>
              <w:pStyle w:val="xmsonormal"/>
              <w:jc w:val="center"/>
              <w:rPr>
                <w:lang w:val="es-CL"/>
              </w:rPr>
            </w:pPr>
            <w:r w:rsidRPr="00E21307">
              <w:rPr>
                <w:lang w:val="es-CL"/>
              </w:rPr>
              <w:t>Rentabilidades</w:t>
            </w:r>
          </w:p>
        </w:tc>
        <w:tc>
          <w:tcPr>
            <w:tcW w:w="1456" w:type="dxa"/>
          </w:tcPr>
          <w:p w14:paraId="3954C35B" w14:textId="77777777" w:rsidR="00A4111E" w:rsidRDefault="00A4111E" w:rsidP="004E0786">
            <w:pPr>
              <w:pStyle w:val="xmsonormal"/>
              <w:jc w:val="center"/>
              <w:rPr>
                <w:lang w:val="es-CL"/>
              </w:rPr>
            </w:pPr>
            <w:r>
              <w:rPr>
                <w:lang w:val="es-CL"/>
              </w:rPr>
              <w:t>1,94%</w:t>
            </w:r>
          </w:p>
        </w:tc>
        <w:tc>
          <w:tcPr>
            <w:tcW w:w="1457" w:type="dxa"/>
          </w:tcPr>
          <w:p w14:paraId="03D759F9" w14:textId="77777777" w:rsidR="00A4111E" w:rsidRDefault="00A4111E" w:rsidP="004E0786">
            <w:pPr>
              <w:pStyle w:val="xmsonormal"/>
              <w:jc w:val="center"/>
              <w:rPr>
                <w:lang w:val="es-CL"/>
              </w:rPr>
            </w:pPr>
            <w:r>
              <w:rPr>
                <w:lang w:val="es-CL"/>
              </w:rPr>
              <w:t>1,96%</w:t>
            </w:r>
          </w:p>
        </w:tc>
        <w:tc>
          <w:tcPr>
            <w:tcW w:w="1457" w:type="dxa"/>
          </w:tcPr>
          <w:p w14:paraId="77A345C0" w14:textId="77777777" w:rsidR="00A4111E" w:rsidRDefault="00A4111E" w:rsidP="004E0786">
            <w:pPr>
              <w:pStyle w:val="xmsonormal"/>
              <w:jc w:val="center"/>
              <w:rPr>
                <w:lang w:val="es-CL"/>
              </w:rPr>
            </w:pPr>
            <w:r>
              <w:rPr>
                <w:lang w:val="es-CL"/>
              </w:rPr>
              <w:t>1,96%</w:t>
            </w:r>
          </w:p>
        </w:tc>
      </w:tr>
      <w:tr w:rsidR="00A4111E" w14:paraId="77765EFF" w14:textId="77777777" w:rsidTr="004E0786">
        <w:tc>
          <w:tcPr>
            <w:tcW w:w="1465" w:type="dxa"/>
            <w:vMerge/>
            <w:vAlign w:val="center"/>
          </w:tcPr>
          <w:p w14:paraId="1CA4EFAB" w14:textId="77777777" w:rsidR="00A4111E" w:rsidRPr="00E21307" w:rsidRDefault="00A4111E" w:rsidP="004E0786">
            <w:pPr>
              <w:pStyle w:val="xmsonormal"/>
              <w:jc w:val="center"/>
              <w:rPr>
                <w:lang w:val="es-CL"/>
              </w:rPr>
            </w:pPr>
          </w:p>
        </w:tc>
        <w:tc>
          <w:tcPr>
            <w:tcW w:w="1082" w:type="dxa"/>
            <w:vMerge/>
            <w:vAlign w:val="center"/>
          </w:tcPr>
          <w:p w14:paraId="7E8B3C19" w14:textId="77777777" w:rsidR="00A4111E" w:rsidRPr="00E21307" w:rsidRDefault="00A4111E" w:rsidP="004E0786">
            <w:pPr>
              <w:pStyle w:val="xmsonormal"/>
              <w:jc w:val="center"/>
              <w:rPr>
                <w:lang w:val="es-CL"/>
              </w:rPr>
            </w:pPr>
          </w:p>
        </w:tc>
        <w:tc>
          <w:tcPr>
            <w:tcW w:w="1911" w:type="dxa"/>
          </w:tcPr>
          <w:p w14:paraId="3E8D8823" w14:textId="77777777" w:rsidR="00A4111E" w:rsidRPr="00E21307" w:rsidRDefault="00A4111E" w:rsidP="004E0786">
            <w:pPr>
              <w:pStyle w:val="xmsonormal"/>
              <w:jc w:val="center"/>
              <w:rPr>
                <w:lang w:val="es-CL"/>
              </w:rPr>
            </w:pPr>
            <w:r w:rsidRPr="00E21307">
              <w:rPr>
                <w:lang w:val="es-CL"/>
              </w:rPr>
              <w:t>Max. Permitida</w:t>
            </w:r>
          </w:p>
        </w:tc>
        <w:tc>
          <w:tcPr>
            <w:tcW w:w="1456" w:type="dxa"/>
          </w:tcPr>
          <w:p w14:paraId="56AC86B2" w14:textId="77777777" w:rsidR="00A4111E" w:rsidRDefault="00A4111E" w:rsidP="004E0786">
            <w:pPr>
              <w:pStyle w:val="xmsonormal"/>
              <w:jc w:val="center"/>
              <w:rPr>
                <w:lang w:val="es-CL"/>
              </w:rPr>
            </w:pPr>
            <w:r>
              <w:rPr>
                <w:lang w:val="es-CL"/>
              </w:rPr>
              <w:t>10,17%</w:t>
            </w:r>
          </w:p>
        </w:tc>
        <w:tc>
          <w:tcPr>
            <w:tcW w:w="1457" w:type="dxa"/>
          </w:tcPr>
          <w:p w14:paraId="33B84EA7" w14:textId="77777777" w:rsidR="00A4111E" w:rsidRDefault="00A4111E" w:rsidP="004E0786">
            <w:pPr>
              <w:pStyle w:val="xmsonormal"/>
              <w:jc w:val="center"/>
              <w:rPr>
                <w:lang w:val="es-CL"/>
              </w:rPr>
            </w:pPr>
            <w:r>
              <w:rPr>
                <w:lang w:val="es-CL"/>
              </w:rPr>
              <w:t>9,84%</w:t>
            </w:r>
          </w:p>
        </w:tc>
        <w:tc>
          <w:tcPr>
            <w:tcW w:w="1457" w:type="dxa"/>
          </w:tcPr>
          <w:p w14:paraId="40AE3D67" w14:textId="77777777" w:rsidR="00A4111E" w:rsidRDefault="00A4111E" w:rsidP="004E0786">
            <w:pPr>
              <w:pStyle w:val="xmsonormal"/>
              <w:jc w:val="center"/>
              <w:rPr>
                <w:lang w:val="es-CL"/>
              </w:rPr>
            </w:pPr>
            <w:r>
              <w:rPr>
                <w:lang w:val="es-CL"/>
              </w:rPr>
              <w:t>9,34%</w:t>
            </w:r>
          </w:p>
        </w:tc>
      </w:tr>
      <w:tr w:rsidR="00A4111E" w14:paraId="5493947D" w14:textId="77777777" w:rsidTr="004E0786">
        <w:tc>
          <w:tcPr>
            <w:tcW w:w="1465" w:type="dxa"/>
            <w:vMerge w:val="restart"/>
            <w:vAlign w:val="center"/>
          </w:tcPr>
          <w:p w14:paraId="132760E3" w14:textId="77777777" w:rsidR="00A4111E" w:rsidRPr="00E21307" w:rsidRDefault="00A4111E" w:rsidP="004E0786">
            <w:pPr>
              <w:pStyle w:val="xmsonormal"/>
              <w:jc w:val="center"/>
              <w:rPr>
                <w:lang w:val="es-CL"/>
              </w:rPr>
            </w:pPr>
            <w:proofErr w:type="spellStart"/>
            <w:r w:rsidRPr="00E21307">
              <w:rPr>
                <w:lang w:val="es-CL"/>
              </w:rPr>
              <w:t>Intergas</w:t>
            </w:r>
            <w:proofErr w:type="spellEnd"/>
          </w:p>
        </w:tc>
        <w:tc>
          <w:tcPr>
            <w:tcW w:w="1082" w:type="dxa"/>
            <w:vMerge w:val="restart"/>
            <w:vAlign w:val="center"/>
          </w:tcPr>
          <w:p w14:paraId="68BCAEDE" w14:textId="77777777" w:rsidR="00A4111E" w:rsidRPr="00E21307" w:rsidRDefault="00A4111E" w:rsidP="004E0786">
            <w:pPr>
              <w:pStyle w:val="xmsonormal"/>
              <w:jc w:val="center"/>
              <w:rPr>
                <w:lang w:val="es-CL"/>
              </w:rPr>
            </w:pPr>
            <w:r w:rsidRPr="00E21307">
              <w:rPr>
                <w:lang w:val="es-CL"/>
              </w:rPr>
              <w:t>IX</w:t>
            </w:r>
          </w:p>
        </w:tc>
        <w:tc>
          <w:tcPr>
            <w:tcW w:w="1911" w:type="dxa"/>
          </w:tcPr>
          <w:p w14:paraId="298D62A7" w14:textId="77777777" w:rsidR="00A4111E" w:rsidRPr="00E21307" w:rsidRDefault="00A4111E" w:rsidP="004E0786">
            <w:pPr>
              <w:pStyle w:val="xmsonormal"/>
              <w:jc w:val="center"/>
              <w:rPr>
                <w:lang w:val="es-CL"/>
              </w:rPr>
            </w:pPr>
            <w:r w:rsidRPr="00E21307">
              <w:rPr>
                <w:lang w:val="es-CL"/>
              </w:rPr>
              <w:t>Rentabilidades</w:t>
            </w:r>
          </w:p>
        </w:tc>
        <w:tc>
          <w:tcPr>
            <w:tcW w:w="1456" w:type="dxa"/>
          </w:tcPr>
          <w:p w14:paraId="300E58A4" w14:textId="77777777" w:rsidR="00A4111E" w:rsidRDefault="00A4111E" w:rsidP="004E0786">
            <w:pPr>
              <w:pStyle w:val="xmsonormal"/>
              <w:jc w:val="center"/>
              <w:rPr>
                <w:lang w:val="es-CL"/>
              </w:rPr>
            </w:pPr>
            <w:r>
              <w:rPr>
                <w:lang w:val="es-CL"/>
              </w:rPr>
              <w:t>4,02%</w:t>
            </w:r>
          </w:p>
        </w:tc>
        <w:tc>
          <w:tcPr>
            <w:tcW w:w="1457" w:type="dxa"/>
          </w:tcPr>
          <w:p w14:paraId="316B595B" w14:textId="77777777" w:rsidR="00A4111E" w:rsidRDefault="00A4111E" w:rsidP="004E0786">
            <w:pPr>
              <w:pStyle w:val="xmsonormal"/>
              <w:jc w:val="center"/>
              <w:rPr>
                <w:lang w:val="es-CL"/>
              </w:rPr>
            </w:pPr>
            <w:r>
              <w:rPr>
                <w:lang w:val="es-CL"/>
              </w:rPr>
              <w:t>4,21%</w:t>
            </w:r>
          </w:p>
        </w:tc>
        <w:tc>
          <w:tcPr>
            <w:tcW w:w="1457" w:type="dxa"/>
          </w:tcPr>
          <w:p w14:paraId="7E4FC05C" w14:textId="77777777" w:rsidR="00A4111E" w:rsidRDefault="00A4111E" w:rsidP="004E0786">
            <w:pPr>
              <w:pStyle w:val="xmsonormal"/>
              <w:jc w:val="center"/>
              <w:rPr>
                <w:lang w:val="es-CL"/>
              </w:rPr>
            </w:pPr>
            <w:r>
              <w:rPr>
                <w:lang w:val="es-CL"/>
              </w:rPr>
              <w:t>4,79%</w:t>
            </w:r>
          </w:p>
        </w:tc>
      </w:tr>
      <w:tr w:rsidR="00A4111E" w14:paraId="48B01995" w14:textId="77777777" w:rsidTr="004E0786">
        <w:tc>
          <w:tcPr>
            <w:tcW w:w="1465" w:type="dxa"/>
            <w:vMerge/>
            <w:vAlign w:val="center"/>
          </w:tcPr>
          <w:p w14:paraId="3CB45E0C" w14:textId="77777777" w:rsidR="00A4111E" w:rsidRPr="00E21307" w:rsidRDefault="00A4111E" w:rsidP="004E0786">
            <w:pPr>
              <w:pStyle w:val="xmsonormal"/>
              <w:jc w:val="center"/>
              <w:rPr>
                <w:lang w:val="es-CL"/>
              </w:rPr>
            </w:pPr>
          </w:p>
        </w:tc>
        <w:tc>
          <w:tcPr>
            <w:tcW w:w="1082" w:type="dxa"/>
            <w:vMerge/>
            <w:vAlign w:val="center"/>
          </w:tcPr>
          <w:p w14:paraId="6E88B5A4" w14:textId="77777777" w:rsidR="00A4111E" w:rsidRPr="00E21307" w:rsidRDefault="00A4111E" w:rsidP="004E0786">
            <w:pPr>
              <w:pStyle w:val="xmsonormal"/>
              <w:jc w:val="center"/>
              <w:rPr>
                <w:lang w:val="es-CL"/>
              </w:rPr>
            </w:pPr>
          </w:p>
        </w:tc>
        <w:tc>
          <w:tcPr>
            <w:tcW w:w="1911" w:type="dxa"/>
          </w:tcPr>
          <w:p w14:paraId="0DAD5921" w14:textId="77777777" w:rsidR="00A4111E" w:rsidRPr="00E21307" w:rsidRDefault="00A4111E" w:rsidP="004E0786">
            <w:pPr>
              <w:pStyle w:val="xmsonormal"/>
              <w:jc w:val="center"/>
              <w:rPr>
                <w:lang w:val="es-CL"/>
              </w:rPr>
            </w:pPr>
            <w:r w:rsidRPr="00E21307">
              <w:rPr>
                <w:lang w:val="es-CL"/>
              </w:rPr>
              <w:t>Max. Permitida</w:t>
            </w:r>
          </w:p>
        </w:tc>
        <w:tc>
          <w:tcPr>
            <w:tcW w:w="1456" w:type="dxa"/>
          </w:tcPr>
          <w:p w14:paraId="4E4106E7" w14:textId="77777777" w:rsidR="00A4111E" w:rsidRDefault="00A4111E" w:rsidP="004E0786">
            <w:pPr>
              <w:pStyle w:val="xmsonormal"/>
              <w:jc w:val="center"/>
              <w:rPr>
                <w:lang w:val="es-CL"/>
              </w:rPr>
            </w:pPr>
            <w:r>
              <w:rPr>
                <w:lang w:val="es-CL"/>
              </w:rPr>
              <w:t>10,27%</w:t>
            </w:r>
          </w:p>
        </w:tc>
        <w:tc>
          <w:tcPr>
            <w:tcW w:w="1457" w:type="dxa"/>
          </w:tcPr>
          <w:p w14:paraId="2FB2A36F" w14:textId="77777777" w:rsidR="00A4111E" w:rsidRDefault="00A4111E" w:rsidP="004E0786">
            <w:pPr>
              <w:pStyle w:val="xmsonormal"/>
              <w:jc w:val="center"/>
              <w:rPr>
                <w:lang w:val="es-CL"/>
              </w:rPr>
            </w:pPr>
            <w:r>
              <w:rPr>
                <w:lang w:val="es-CL"/>
              </w:rPr>
              <w:t>10,06%</w:t>
            </w:r>
          </w:p>
        </w:tc>
        <w:tc>
          <w:tcPr>
            <w:tcW w:w="1457" w:type="dxa"/>
          </w:tcPr>
          <w:p w14:paraId="7334B928" w14:textId="77777777" w:rsidR="00A4111E" w:rsidRDefault="00A4111E" w:rsidP="004E0786">
            <w:pPr>
              <w:pStyle w:val="xmsonormal"/>
              <w:jc w:val="center"/>
              <w:rPr>
                <w:lang w:val="es-CL"/>
              </w:rPr>
            </w:pPr>
            <w:r>
              <w:rPr>
                <w:lang w:val="es-CL"/>
              </w:rPr>
              <w:t>9,55%</w:t>
            </w:r>
          </w:p>
        </w:tc>
      </w:tr>
      <w:tr w:rsidR="00A4111E" w14:paraId="4F72822D" w14:textId="77777777" w:rsidTr="004E0786">
        <w:tc>
          <w:tcPr>
            <w:tcW w:w="1465" w:type="dxa"/>
            <w:vMerge w:val="restart"/>
            <w:vAlign w:val="center"/>
          </w:tcPr>
          <w:p w14:paraId="26D25241" w14:textId="77777777" w:rsidR="00A4111E" w:rsidRPr="00E21307" w:rsidRDefault="00A4111E" w:rsidP="004E0786">
            <w:pPr>
              <w:pStyle w:val="xmsonormal"/>
              <w:jc w:val="center"/>
              <w:rPr>
                <w:lang w:val="es-CL"/>
              </w:rPr>
            </w:pPr>
            <w:r w:rsidRPr="00E21307">
              <w:rPr>
                <w:lang w:val="es-CL"/>
              </w:rPr>
              <w:t>Lipigas</w:t>
            </w:r>
          </w:p>
        </w:tc>
        <w:tc>
          <w:tcPr>
            <w:tcW w:w="1082" w:type="dxa"/>
            <w:vMerge w:val="restart"/>
            <w:vAlign w:val="center"/>
          </w:tcPr>
          <w:p w14:paraId="6DAA5B61" w14:textId="77777777" w:rsidR="00A4111E" w:rsidRPr="00E21307" w:rsidRDefault="00A4111E" w:rsidP="004E0786">
            <w:pPr>
              <w:pStyle w:val="xmsonormal"/>
              <w:jc w:val="center"/>
              <w:rPr>
                <w:lang w:val="es-CL"/>
              </w:rPr>
            </w:pPr>
            <w:r w:rsidRPr="00E21307">
              <w:rPr>
                <w:lang w:val="es-CL"/>
              </w:rPr>
              <w:t>II</w:t>
            </w:r>
          </w:p>
        </w:tc>
        <w:tc>
          <w:tcPr>
            <w:tcW w:w="1911" w:type="dxa"/>
          </w:tcPr>
          <w:p w14:paraId="3B809B4A" w14:textId="77777777" w:rsidR="00A4111E" w:rsidRPr="00E21307" w:rsidRDefault="00A4111E" w:rsidP="004E0786">
            <w:pPr>
              <w:pStyle w:val="xmsonormal"/>
              <w:jc w:val="center"/>
              <w:rPr>
                <w:lang w:val="es-CL"/>
              </w:rPr>
            </w:pPr>
            <w:r w:rsidRPr="00E21307">
              <w:rPr>
                <w:lang w:val="es-CL"/>
              </w:rPr>
              <w:t>Rentabilidades</w:t>
            </w:r>
          </w:p>
        </w:tc>
        <w:tc>
          <w:tcPr>
            <w:tcW w:w="1456" w:type="dxa"/>
          </w:tcPr>
          <w:p w14:paraId="4FD233E2" w14:textId="77777777" w:rsidR="00A4111E" w:rsidRDefault="00A4111E" w:rsidP="004E0786">
            <w:pPr>
              <w:pStyle w:val="xmsonormal"/>
              <w:jc w:val="center"/>
              <w:rPr>
                <w:lang w:val="es-CL"/>
              </w:rPr>
            </w:pPr>
            <w:r>
              <w:rPr>
                <w:lang w:val="es-CL"/>
              </w:rPr>
              <w:t>5,61%</w:t>
            </w:r>
          </w:p>
        </w:tc>
        <w:tc>
          <w:tcPr>
            <w:tcW w:w="1457" w:type="dxa"/>
          </w:tcPr>
          <w:p w14:paraId="4E1D4250" w14:textId="77777777" w:rsidR="00A4111E" w:rsidRDefault="00A4111E" w:rsidP="004E0786">
            <w:pPr>
              <w:pStyle w:val="xmsonormal"/>
              <w:jc w:val="center"/>
              <w:rPr>
                <w:lang w:val="es-CL"/>
              </w:rPr>
            </w:pPr>
            <w:r>
              <w:rPr>
                <w:lang w:val="es-CL"/>
              </w:rPr>
              <w:t>7,35%</w:t>
            </w:r>
          </w:p>
        </w:tc>
        <w:tc>
          <w:tcPr>
            <w:tcW w:w="1457" w:type="dxa"/>
          </w:tcPr>
          <w:p w14:paraId="5385CF67" w14:textId="77777777" w:rsidR="00A4111E" w:rsidRDefault="00A4111E" w:rsidP="004E0786">
            <w:pPr>
              <w:pStyle w:val="xmsonormal"/>
              <w:jc w:val="center"/>
              <w:rPr>
                <w:lang w:val="es-CL"/>
              </w:rPr>
            </w:pPr>
            <w:r>
              <w:rPr>
                <w:lang w:val="es-CL"/>
              </w:rPr>
              <w:t>8,93%</w:t>
            </w:r>
          </w:p>
        </w:tc>
      </w:tr>
      <w:tr w:rsidR="00A4111E" w14:paraId="0F85F99E" w14:textId="77777777" w:rsidTr="004E0786">
        <w:tc>
          <w:tcPr>
            <w:tcW w:w="1465" w:type="dxa"/>
            <w:vMerge/>
          </w:tcPr>
          <w:p w14:paraId="76F8D76E" w14:textId="77777777" w:rsidR="00A4111E" w:rsidRPr="00E21307" w:rsidRDefault="00A4111E" w:rsidP="004E0786">
            <w:pPr>
              <w:pStyle w:val="xmsonormal"/>
              <w:jc w:val="center"/>
              <w:rPr>
                <w:lang w:val="es-CL"/>
              </w:rPr>
            </w:pPr>
          </w:p>
        </w:tc>
        <w:tc>
          <w:tcPr>
            <w:tcW w:w="1082" w:type="dxa"/>
            <w:vMerge/>
          </w:tcPr>
          <w:p w14:paraId="436D840F" w14:textId="77777777" w:rsidR="00A4111E" w:rsidRPr="00E21307" w:rsidRDefault="00A4111E" w:rsidP="004E0786">
            <w:pPr>
              <w:pStyle w:val="xmsonormal"/>
              <w:jc w:val="center"/>
              <w:rPr>
                <w:lang w:val="es-CL"/>
              </w:rPr>
            </w:pPr>
          </w:p>
        </w:tc>
        <w:tc>
          <w:tcPr>
            <w:tcW w:w="1911" w:type="dxa"/>
          </w:tcPr>
          <w:p w14:paraId="5B6FF8E8" w14:textId="77777777" w:rsidR="00A4111E" w:rsidRPr="00E21307" w:rsidRDefault="00A4111E" w:rsidP="004E0786">
            <w:pPr>
              <w:pStyle w:val="xmsonormal"/>
              <w:jc w:val="center"/>
              <w:rPr>
                <w:lang w:val="es-CL"/>
              </w:rPr>
            </w:pPr>
            <w:r w:rsidRPr="00E21307">
              <w:rPr>
                <w:lang w:val="es-CL"/>
              </w:rPr>
              <w:t>Max. Permitida</w:t>
            </w:r>
          </w:p>
        </w:tc>
        <w:tc>
          <w:tcPr>
            <w:tcW w:w="1456" w:type="dxa"/>
          </w:tcPr>
          <w:p w14:paraId="71ACC4BB" w14:textId="77777777" w:rsidR="00A4111E" w:rsidRDefault="00A4111E" w:rsidP="004E0786">
            <w:pPr>
              <w:pStyle w:val="xmsonormal"/>
              <w:jc w:val="center"/>
              <w:rPr>
                <w:lang w:val="es-CL"/>
              </w:rPr>
            </w:pPr>
            <w:r>
              <w:rPr>
                <w:lang w:val="es-CL"/>
              </w:rPr>
              <w:t>10,05%</w:t>
            </w:r>
          </w:p>
        </w:tc>
        <w:tc>
          <w:tcPr>
            <w:tcW w:w="1457" w:type="dxa"/>
          </w:tcPr>
          <w:p w14:paraId="0C041BB8" w14:textId="77777777" w:rsidR="00A4111E" w:rsidRDefault="00A4111E" w:rsidP="004E0786">
            <w:pPr>
              <w:pStyle w:val="xmsonormal"/>
              <w:jc w:val="center"/>
              <w:rPr>
                <w:lang w:val="es-CL"/>
              </w:rPr>
            </w:pPr>
            <w:r>
              <w:rPr>
                <w:lang w:val="es-CL"/>
              </w:rPr>
              <w:t>9,61%</w:t>
            </w:r>
          </w:p>
        </w:tc>
        <w:tc>
          <w:tcPr>
            <w:tcW w:w="1457" w:type="dxa"/>
          </w:tcPr>
          <w:p w14:paraId="14A816F9" w14:textId="77777777" w:rsidR="00A4111E" w:rsidRDefault="00A4111E" w:rsidP="004E0786">
            <w:pPr>
              <w:pStyle w:val="xmsonormal"/>
              <w:jc w:val="center"/>
              <w:rPr>
                <w:lang w:val="es-CL"/>
              </w:rPr>
            </w:pPr>
            <w:r>
              <w:rPr>
                <w:lang w:val="es-CL"/>
              </w:rPr>
              <w:t>9,11%</w:t>
            </w:r>
          </w:p>
        </w:tc>
      </w:tr>
    </w:tbl>
    <w:p w14:paraId="056F641A" w14:textId="77777777" w:rsidR="005864F3" w:rsidRPr="00A4111E" w:rsidRDefault="005864F3" w:rsidP="005864F3">
      <w:pPr>
        <w:pStyle w:val="xmsonormal"/>
        <w:spacing w:after="160" w:line="252" w:lineRule="auto"/>
        <w:jc w:val="both"/>
        <w:rPr>
          <w:sz w:val="16"/>
          <w:szCs w:val="16"/>
          <w:lang w:val="es-CL"/>
        </w:rPr>
      </w:pPr>
      <w:r w:rsidRPr="00A4111E">
        <w:rPr>
          <w:sz w:val="16"/>
          <w:szCs w:val="16"/>
          <w:lang w:val="es-CL"/>
        </w:rPr>
        <w:t>Nota: se omiten las rentabilidades indeterminadas y negativa.</w:t>
      </w:r>
    </w:p>
    <w:p w14:paraId="16DEC0FD" w14:textId="39B9ACE4" w:rsidR="00521188" w:rsidRPr="002823D8" w:rsidRDefault="00521188" w:rsidP="002823D8">
      <w:pPr>
        <w:pStyle w:val="xmsonormal"/>
        <w:spacing w:after="160" w:line="252" w:lineRule="auto"/>
        <w:jc w:val="both"/>
        <w:rPr>
          <w:sz w:val="24"/>
          <w:szCs w:val="24"/>
          <w:lang w:val="es-CL"/>
        </w:rPr>
      </w:pPr>
      <w:r w:rsidRPr="002823D8">
        <w:rPr>
          <w:sz w:val="24"/>
          <w:szCs w:val="24"/>
          <w:lang w:val="es-CL"/>
        </w:rPr>
        <w:t>Respecto del monitoreo del sector eléctrico, en particular, de la comercialización entre generadores y clientes (clientes libres y distribuidoras) en el Sistema Eléctrico Nacional, durante el período comprendido entre los años 2018 y 2021, se realizaron 48 publicaciones mensuales del indicador de Precio Medio de Mercado, disponibles en el sitio web de la Comisión Nacional de Energía.</w:t>
      </w:r>
    </w:p>
    <w:p w14:paraId="7A9E737D" w14:textId="7EC70238" w:rsidR="00521188" w:rsidRPr="002823D8" w:rsidRDefault="00A4111E" w:rsidP="002823D8">
      <w:pPr>
        <w:pStyle w:val="xmsonormal"/>
        <w:spacing w:after="160" w:line="252" w:lineRule="auto"/>
        <w:jc w:val="both"/>
        <w:rPr>
          <w:sz w:val="24"/>
          <w:szCs w:val="24"/>
          <w:lang w:val="es-CL"/>
        </w:rPr>
      </w:pPr>
      <w:r w:rsidRPr="002823D8">
        <w:rPr>
          <w:sz w:val="24"/>
          <w:szCs w:val="24"/>
          <w:lang w:val="es-CL"/>
        </w:rPr>
        <w:t xml:space="preserve">Adicionalmente, se concluyó el desarrollo de la Plataforma de Monitoreo de Mercado posteriormente nombrada GEMA – Gestión para el Monitoreo de Energía cuyo desarrollo se fundamenta en la continuidad del proceso de modernización de las labores de monitoreo del segmento generación, y el mercado de contratos bilaterales </w:t>
      </w:r>
      <w:r w:rsidR="00521188" w:rsidRPr="002823D8">
        <w:rPr>
          <w:sz w:val="24"/>
          <w:szCs w:val="24"/>
          <w:lang w:val="es-CL"/>
        </w:rPr>
        <w:t xml:space="preserve">que arroje, rápida y eficazmente, una visión global del comportamiento del mercado. Culmina este desarrollo en el año 2021 cuando se presenta a todas las empresas participantes del mercado energético chileno. </w:t>
      </w:r>
    </w:p>
    <w:p w14:paraId="5C911759" w14:textId="464FDD9A" w:rsidR="00551880" w:rsidRPr="002823D8" w:rsidRDefault="00551880" w:rsidP="002823D8">
      <w:pPr>
        <w:pStyle w:val="xmsonormal"/>
        <w:spacing w:after="160" w:line="252" w:lineRule="auto"/>
        <w:jc w:val="both"/>
        <w:rPr>
          <w:sz w:val="24"/>
          <w:szCs w:val="24"/>
          <w:lang w:val="es-CL"/>
        </w:rPr>
      </w:pPr>
      <w:r w:rsidRPr="002823D8">
        <w:rPr>
          <w:sz w:val="24"/>
          <w:szCs w:val="24"/>
          <w:lang w:val="es-CL"/>
        </w:rPr>
        <w:t xml:space="preserve">En lo que respecta a desarrollo de proyectos de infraestructura eléctrica, la </w:t>
      </w:r>
      <w:r w:rsidR="00C412D2" w:rsidRPr="002823D8">
        <w:rPr>
          <w:sz w:val="24"/>
          <w:szCs w:val="24"/>
          <w:lang w:val="es-CL"/>
        </w:rPr>
        <w:t>CNE</w:t>
      </w:r>
      <w:r w:rsidRPr="002823D8">
        <w:rPr>
          <w:sz w:val="24"/>
          <w:szCs w:val="24"/>
          <w:lang w:val="es-CL"/>
        </w:rPr>
        <w:t xml:space="preserve"> tiene como responsabilidad los procesos de Declaración </w:t>
      </w:r>
      <w:r w:rsidR="00A4111E" w:rsidRPr="002823D8">
        <w:rPr>
          <w:sz w:val="24"/>
          <w:szCs w:val="24"/>
          <w:lang w:val="es-CL"/>
        </w:rPr>
        <w:t xml:space="preserve">de Proyectos </w:t>
      </w:r>
      <w:r w:rsidRPr="002823D8">
        <w:rPr>
          <w:sz w:val="24"/>
          <w:szCs w:val="24"/>
          <w:lang w:val="es-CL"/>
        </w:rPr>
        <w:t xml:space="preserve">en Construcción, Modificaciones Relevantes y la interconexión de instalaciones de transmisión al sistema eléctrico sin que </w:t>
      </w:r>
      <w:r w:rsidRPr="002823D8">
        <w:rPr>
          <w:sz w:val="24"/>
          <w:szCs w:val="24"/>
          <w:lang w:val="es-CL"/>
        </w:rPr>
        <w:lastRenderedPageBreak/>
        <w:t xml:space="preserve">estas formen parte de la planificación de que trata el artículo 87°, en conformidad a lo dispuesto en el inciso segundo del artículo 102° de la Ley, </w:t>
      </w:r>
      <w:r w:rsidR="00A4111E" w:rsidRPr="002823D8">
        <w:rPr>
          <w:sz w:val="24"/>
          <w:szCs w:val="24"/>
          <w:lang w:val="es-CL"/>
        </w:rPr>
        <w:t xml:space="preserve">conocido como </w:t>
      </w:r>
      <w:r w:rsidRPr="002823D8">
        <w:rPr>
          <w:sz w:val="24"/>
          <w:szCs w:val="24"/>
          <w:lang w:val="es-CL"/>
        </w:rPr>
        <w:t>“Obras Urgentes”.</w:t>
      </w:r>
    </w:p>
    <w:p w14:paraId="30E4E421" w14:textId="77777777" w:rsidR="00A4111E" w:rsidRPr="002823D8" w:rsidRDefault="00A4111E" w:rsidP="002823D8">
      <w:pPr>
        <w:pStyle w:val="xmsonormal"/>
        <w:spacing w:after="160" w:line="252" w:lineRule="auto"/>
        <w:jc w:val="both"/>
        <w:rPr>
          <w:sz w:val="24"/>
          <w:szCs w:val="24"/>
          <w:lang w:val="es-CL"/>
        </w:rPr>
      </w:pPr>
      <w:r w:rsidRPr="002823D8">
        <w:rPr>
          <w:sz w:val="24"/>
          <w:szCs w:val="24"/>
          <w:lang w:val="es-CL"/>
        </w:rPr>
        <w:t xml:space="preserve">Respecto de las solicitudes de Declaración de Proyectos en Construcción, en el siguiente cuadro se muestra la cantidad de solicitudes presentadas ante la CNE en el período, y el incremento anual de las mismas: </w:t>
      </w:r>
    </w:p>
    <w:p w14:paraId="58109869" w14:textId="77777777" w:rsidR="00A4111E" w:rsidRDefault="00A4111E" w:rsidP="00A4111E">
      <w:pPr>
        <w:spacing w:after="0"/>
        <w:jc w:val="both"/>
        <w:rPr>
          <w:rFonts w:cstheme="minorHAnsi"/>
          <w:iCs/>
          <w:color w:val="000000" w:themeColor="text1"/>
          <w:sz w:val="23"/>
          <w:szCs w:val="23"/>
        </w:rPr>
      </w:pPr>
    </w:p>
    <w:tbl>
      <w:tblPr>
        <w:tblStyle w:val="Tablaconcuadrcula"/>
        <w:tblW w:w="0" w:type="auto"/>
        <w:tblLook w:val="04A0" w:firstRow="1" w:lastRow="0" w:firstColumn="1" w:lastColumn="0" w:noHBand="0" w:noVBand="1"/>
      </w:tblPr>
      <w:tblGrid>
        <w:gridCol w:w="1413"/>
        <w:gridCol w:w="2551"/>
        <w:gridCol w:w="2657"/>
        <w:gridCol w:w="1879"/>
      </w:tblGrid>
      <w:tr w:rsidR="00A4111E" w14:paraId="6A81CD51" w14:textId="77777777" w:rsidTr="004E0786">
        <w:tc>
          <w:tcPr>
            <w:tcW w:w="1413" w:type="dxa"/>
            <w:vMerge w:val="restart"/>
            <w:vAlign w:val="center"/>
          </w:tcPr>
          <w:p w14:paraId="0FB3C67E" w14:textId="77777777" w:rsidR="00A4111E" w:rsidRDefault="00A4111E" w:rsidP="004E0786">
            <w:pPr>
              <w:jc w:val="center"/>
              <w:rPr>
                <w:rFonts w:cstheme="minorHAnsi"/>
                <w:iCs/>
                <w:color w:val="000000" w:themeColor="text1"/>
                <w:sz w:val="23"/>
                <w:szCs w:val="23"/>
              </w:rPr>
            </w:pPr>
            <w:r w:rsidRPr="00661873">
              <w:rPr>
                <w:rFonts w:cstheme="minorHAnsi"/>
                <w:b/>
                <w:bCs/>
                <w:iCs/>
                <w:color w:val="000000" w:themeColor="text1"/>
                <w:sz w:val="23"/>
                <w:szCs w:val="23"/>
              </w:rPr>
              <w:t>Año</w:t>
            </w:r>
          </w:p>
        </w:tc>
        <w:tc>
          <w:tcPr>
            <w:tcW w:w="2551" w:type="dxa"/>
            <w:vMerge w:val="restart"/>
            <w:vAlign w:val="center"/>
          </w:tcPr>
          <w:p w14:paraId="7ED29B26" w14:textId="77777777" w:rsidR="00A4111E" w:rsidRDefault="00A4111E" w:rsidP="004E0786">
            <w:pPr>
              <w:jc w:val="center"/>
              <w:rPr>
                <w:rFonts w:cstheme="minorHAnsi"/>
                <w:iCs/>
                <w:color w:val="000000" w:themeColor="text1"/>
                <w:sz w:val="23"/>
                <w:szCs w:val="23"/>
              </w:rPr>
            </w:pPr>
            <w:r>
              <w:rPr>
                <w:rFonts w:cstheme="minorHAnsi"/>
                <w:b/>
                <w:bCs/>
                <w:iCs/>
                <w:color w:val="000000" w:themeColor="text1"/>
                <w:sz w:val="23"/>
                <w:szCs w:val="23"/>
              </w:rPr>
              <w:t>Solicitudes Ingresadas</w:t>
            </w:r>
          </w:p>
        </w:tc>
        <w:tc>
          <w:tcPr>
            <w:tcW w:w="4536" w:type="dxa"/>
            <w:gridSpan w:val="2"/>
          </w:tcPr>
          <w:p w14:paraId="7096F6AA" w14:textId="77777777" w:rsidR="00A4111E" w:rsidRDefault="00A4111E" w:rsidP="004E0786">
            <w:pPr>
              <w:jc w:val="center"/>
              <w:rPr>
                <w:rFonts w:cstheme="minorHAnsi"/>
                <w:iCs/>
                <w:color w:val="000000" w:themeColor="text1"/>
                <w:sz w:val="23"/>
                <w:szCs w:val="23"/>
              </w:rPr>
            </w:pPr>
            <w:r w:rsidRPr="00661873">
              <w:rPr>
                <w:rFonts w:cstheme="minorHAnsi"/>
                <w:b/>
                <w:bCs/>
                <w:iCs/>
                <w:color w:val="000000" w:themeColor="text1"/>
                <w:sz w:val="23"/>
                <w:szCs w:val="23"/>
              </w:rPr>
              <w:t>Aumento respecto del año anterior</w:t>
            </w:r>
          </w:p>
        </w:tc>
      </w:tr>
      <w:tr w:rsidR="00A4111E" w14:paraId="6F45468C" w14:textId="77777777" w:rsidTr="004E0786">
        <w:tc>
          <w:tcPr>
            <w:tcW w:w="1413" w:type="dxa"/>
            <w:vMerge/>
            <w:vAlign w:val="center"/>
          </w:tcPr>
          <w:p w14:paraId="10AE9C7B" w14:textId="77777777" w:rsidR="00A4111E" w:rsidRPr="00661873" w:rsidRDefault="00A4111E" w:rsidP="004E0786">
            <w:pPr>
              <w:jc w:val="center"/>
              <w:rPr>
                <w:rFonts w:cstheme="minorHAnsi"/>
                <w:b/>
                <w:bCs/>
                <w:iCs/>
                <w:color w:val="000000" w:themeColor="text1"/>
                <w:sz w:val="23"/>
                <w:szCs w:val="23"/>
              </w:rPr>
            </w:pPr>
          </w:p>
        </w:tc>
        <w:tc>
          <w:tcPr>
            <w:tcW w:w="2551" w:type="dxa"/>
            <w:vMerge/>
            <w:vAlign w:val="center"/>
          </w:tcPr>
          <w:p w14:paraId="15B5DE6C" w14:textId="77777777" w:rsidR="00A4111E" w:rsidRPr="00661873" w:rsidRDefault="00A4111E" w:rsidP="004E0786">
            <w:pPr>
              <w:jc w:val="center"/>
              <w:rPr>
                <w:rFonts w:cstheme="minorHAnsi"/>
                <w:b/>
                <w:bCs/>
                <w:iCs/>
                <w:color w:val="000000" w:themeColor="text1"/>
                <w:sz w:val="23"/>
                <w:szCs w:val="23"/>
              </w:rPr>
            </w:pPr>
          </w:p>
        </w:tc>
        <w:tc>
          <w:tcPr>
            <w:tcW w:w="2657" w:type="dxa"/>
            <w:vAlign w:val="center"/>
          </w:tcPr>
          <w:p w14:paraId="7D229080" w14:textId="77777777" w:rsidR="00A4111E" w:rsidRPr="00661873" w:rsidRDefault="00A4111E" w:rsidP="004E0786">
            <w:pPr>
              <w:jc w:val="center"/>
              <w:rPr>
                <w:rFonts w:cstheme="minorHAnsi"/>
                <w:b/>
                <w:bCs/>
                <w:iCs/>
                <w:color w:val="000000" w:themeColor="text1"/>
                <w:sz w:val="23"/>
                <w:szCs w:val="23"/>
              </w:rPr>
            </w:pPr>
            <w:r>
              <w:rPr>
                <w:rFonts w:cstheme="minorHAnsi"/>
                <w:b/>
                <w:bCs/>
                <w:iCs/>
                <w:color w:val="000000" w:themeColor="text1"/>
                <w:sz w:val="23"/>
                <w:szCs w:val="23"/>
              </w:rPr>
              <w:t>Cantidad</w:t>
            </w:r>
          </w:p>
        </w:tc>
        <w:tc>
          <w:tcPr>
            <w:tcW w:w="1879" w:type="dxa"/>
            <w:vAlign w:val="center"/>
          </w:tcPr>
          <w:p w14:paraId="320E7257" w14:textId="77777777" w:rsidR="00A4111E" w:rsidRPr="0027529C" w:rsidRDefault="00A4111E" w:rsidP="004E0786">
            <w:pPr>
              <w:jc w:val="center"/>
              <w:rPr>
                <w:rFonts w:cstheme="minorHAnsi"/>
                <w:b/>
                <w:bCs/>
                <w:iCs/>
                <w:color w:val="000000" w:themeColor="text1"/>
                <w:sz w:val="23"/>
                <w:szCs w:val="23"/>
              </w:rPr>
            </w:pPr>
            <w:r w:rsidRPr="0027529C">
              <w:rPr>
                <w:rFonts w:cstheme="minorHAnsi"/>
                <w:b/>
                <w:bCs/>
                <w:iCs/>
                <w:color w:val="000000" w:themeColor="text1"/>
                <w:sz w:val="23"/>
                <w:szCs w:val="23"/>
              </w:rPr>
              <w:t>Porcentaje</w:t>
            </w:r>
          </w:p>
        </w:tc>
      </w:tr>
      <w:tr w:rsidR="00A4111E" w14:paraId="5CB8F48E" w14:textId="77777777" w:rsidTr="004E0786">
        <w:tc>
          <w:tcPr>
            <w:tcW w:w="1413" w:type="dxa"/>
          </w:tcPr>
          <w:p w14:paraId="4FB06BFC" w14:textId="77777777" w:rsidR="00A4111E" w:rsidRDefault="00A4111E" w:rsidP="004E0786">
            <w:pPr>
              <w:jc w:val="center"/>
              <w:rPr>
                <w:rFonts w:cstheme="minorHAnsi"/>
                <w:iCs/>
                <w:color w:val="000000" w:themeColor="text1"/>
                <w:sz w:val="23"/>
                <w:szCs w:val="23"/>
              </w:rPr>
            </w:pPr>
            <w:r>
              <w:rPr>
                <w:rFonts w:cstheme="minorHAnsi"/>
                <w:iCs/>
                <w:color w:val="000000" w:themeColor="text1"/>
                <w:sz w:val="23"/>
                <w:szCs w:val="23"/>
              </w:rPr>
              <w:t>2018</w:t>
            </w:r>
          </w:p>
        </w:tc>
        <w:tc>
          <w:tcPr>
            <w:tcW w:w="2551" w:type="dxa"/>
          </w:tcPr>
          <w:p w14:paraId="3E2B7797" w14:textId="77777777" w:rsidR="00A4111E" w:rsidRDefault="00A4111E" w:rsidP="004E0786">
            <w:pPr>
              <w:jc w:val="center"/>
              <w:rPr>
                <w:rFonts w:cstheme="minorHAnsi"/>
                <w:iCs/>
                <w:color w:val="000000" w:themeColor="text1"/>
                <w:sz w:val="23"/>
                <w:szCs w:val="23"/>
              </w:rPr>
            </w:pPr>
            <w:r>
              <w:rPr>
                <w:rFonts w:cstheme="minorHAnsi"/>
                <w:iCs/>
                <w:color w:val="000000" w:themeColor="text1"/>
                <w:sz w:val="23"/>
                <w:szCs w:val="23"/>
              </w:rPr>
              <w:t>95</w:t>
            </w:r>
          </w:p>
        </w:tc>
        <w:tc>
          <w:tcPr>
            <w:tcW w:w="2657" w:type="dxa"/>
          </w:tcPr>
          <w:p w14:paraId="2497BBEA" w14:textId="77777777" w:rsidR="00A4111E" w:rsidRDefault="00A4111E" w:rsidP="004E0786">
            <w:pPr>
              <w:jc w:val="center"/>
              <w:rPr>
                <w:rFonts w:cstheme="minorHAnsi"/>
                <w:iCs/>
                <w:color w:val="000000" w:themeColor="text1"/>
                <w:sz w:val="23"/>
                <w:szCs w:val="23"/>
              </w:rPr>
            </w:pPr>
            <w:r>
              <w:rPr>
                <w:rFonts w:cstheme="minorHAnsi"/>
                <w:iCs/>
                <w:color w:val="000000" w:themeColor="text1"/>
                <w:sz w:val="23"/>
                <w:szCs w:val="23"/>
              </w:rPr>
              <w:t>-</w:t>
            </w:r>
          </w:p>
        </w:tc>
        <w:tc>
          <w:tcPr>
            <w:tcW w:w="1879" w:type="dxa"/>
          </w:tcPr>
          <w:p w14:paraId="6C10D499" w14:textId="77777777" w:rsidR="00A4111E" w:rsidRDefault="00A4111E" w:rsidP="004E0786">
            <w:pPr>
              <w:jc w:val="center"/>
              <w:rPr>
                <w:rFonts w:cstheme="minorHAnsi"/>
                <w:iCs/>
                <w:color w:val="000000" w:themeColor="text1"/>
                <w:sz w:val="23"/>
                <w:szCs w:val="23"/>
              </w:rPr>
            </w:pPr>
            <w:r>
              <w:rPr>
                <w:rFonts w:cstheme="minorHAnsi"/>
                <w:iCs/>
                <w:color w:val="000000" w:themeColor="text1"/>
                <w:sz w:val="23"/>
                <w:szCs w:val="23"/>
              </w:rPr>
              <w:t>-</w:t>
            </w:r>
          </w:p>
        </w:tc>
      </w:tr>
      <w:tr w:rsidR="00A4111E" w14:paraId="5C8BF37F" w14:textId="77777777" w:rsidTr="004E0786">
        <w:tc>
          <w:tcPr>
            <w:tcW w:w="1413" w:type="dxa"/>
          </w:tcPr>
          <w:p w14:paraId="3E8AD8E8" w14:textId="77777777" w:rsidR="00A4111E" w:rsidRDefault="00A4111E" w:rsidP="004E0786">
            <w:pPr>
              <w:jc w:val="center"/>
              <w:rPr>
                <w:rFonts w:cstheme="minorHAnsi"/>
                <w:iCs/>
                <w:color w:val="000000" w:themeColor="text1"/>
                <w:sz w:val="23"/>
                <w:szCs w:val="23"/>
              </w:rPr>
            </w:pPr>
            <w:r>
              <w:rPr>
                <w:rFonts w:cstheme="minorHAnsi"/>
                <w:iCs/>
                <w:color w:val="000000" w:themeColor="text1"/>
                <w:sz w:val="23"/>
                <w:szCs w:val="23"/>
              </w:rPr>
              <w:t>2019</w:t>
            </w:r>
          </w:p>
        </w:tc>
        <w:tc>
          <w:tcPr>
            <w:tcW w:w="2551" w:type="dxa"/>
          </w:tcPr>
          <w:p w14:paraId="6FB016A4" w14:textId="77777777" w:rsidR="00A4111E" w:rsidRDefault="00A4111E" w:rsidP="004E0786">
            <w:pPr>
              <w:jc w:val="center"/>
              <w:rPr>
                <w:rFonts w:cstheme="minorHAnsi"/>
                <w:iCs/>
                <w:color w:val="000000" w:themeColor="text1"/>
                <w:sz w:val="23"/>
                <w:szCs w:val="23"/>
              </w:rPr>
            </w:pPr>
            <w:r>
              <w:rPr>
                <w:rFonts w:cstheme="minorHAnsi"/>
                <w:iCs/>
                <w:color w:val="000000" w:themeColor="text1"/>
                <w:sz w:val="23"/>
                <w:szCs w:val="23"/>
              </w:rPr>
              <w:t>143</w:t>
            </w:r>
          </w:p>
        </w:tc>
        <w:tc>
          <w:tcPr>
            <w:tcW w:w="2657" w:type="dxa"/>
          </w:tcPr>
          <w:p w14:paraId="51619407" w14:textId="77777777" w:rsidR="00A4111E" w:rsidRDefault="00A4111E" w:rsidP="004E0786">
            <w:pPr>
              <w:jc w:val="center"/>
              <w:rPr>
                <w:rFonts w:cstheme="minorHAnsi"/>
                <w:iCs/>
                <w:color w:val="000000" w:themeColor="text1"/>
                <w:sz w:val="23"/>
                <w:szCs w:val="23"/>
              </w:rPr>
            </w:pPr>
            <w:r>
              <w:rPr>
                <w:rFonts w:cstheme="minorHAnsi"/>
                <w:iCs/>
                <w:color w:val="000000" w:themeColor="text1"/>
                <w:sz w:val="23"/>
                <w:szCs w:val="23"/>
              </w:rPr>
              <w:t>48</w:t>
            </w:r>
          </w:p>
        </w:tc>
        <w:tc>
          <w:tcPr>
            <w:tcW w:w="1879" w:type="dxa"/>
          </w:tcPr>
          <w:p w14:paraId="2778B386" w14:textId="77777777" w:rsidR="00A4111E" w:rsidRDefault="00A4111E" w:rsidP="004E0786">
            <w:pPr>
              <w:jc w:val="center"/>
              <w:rPr>
                <w:rFonts w:cstheme="minorHAnsi"/>
                <w:iCs/>
                <w:color w:val="000000" w:themeColor="text1"/>
                <w:sz w:val="23"/>
                <w:szCs w:val="23"/>
              </w:rPr>
            </w:pPr>
            <w:r>
              <w:rPr>
                <w:rFonts w:cstheme="minorHAnsi"/>
                <w:iCs/>
                <w:color w:val="000000" w:themeColor="text1"/>
                <w:sz w:val="23"/>
                <w:szCs w:val="23"/>
              </w:rPr>
              <w:t>50,5</w:t>
            </w:r>
          </w:p>
        </w:tc>
      </w:tr>
      <w:tr w:rsidR="00A4111E" w14:paraId="57E6E6FE" w14:textId="77777777" w:rsidTr="004E0786">
        <w:tc>
          <w:tcPr>
            <w:tcW w:w="1413" w:type="dxa"/>
          </w:tcPr>
          <w:p w14:paraId="0009247C" w14:textId="77777777" w:rsidR="00A4111E" w:rsidRDefault="00A4111E" w:rsidP="004E0786">
            <w:pPr>
              <w:jc w:val="center"/>
              <w:rPr>
                <w:rFonts w:cstheme="minorHAnsi"/>
                <w:iCs/>
                <w:color w:val="000000" w:themeColor="text1"/>
                <w:sz w:val="23"/>
                <w:szCs w:val="23"/>
              </w:rPr>
            </w:pPr>
            <w:r>
              <w:rPr>
                <w:rFonts w:cstheme="minorHAnsi"/>
                <w:iCs/>
                <w:color w:val="000000" w:themeColor="text1"/>
                <w:sz w:val="23"/>
                <w:szCs w:val="23"/>
              </w:rPr>
              <w:t>2020</w:t>
            </w:r>
          </w:p>
        </w:tc>
        <w:tc>
          <w:tcPr>
            <w:tcW w:w="2551" w:type="dxa"/>
          </w:tcPr>
          <w:p w14:paraId="79C95840" w14:textId="77777777" w:rsidR="00A4111E" w:rsidRDefault="00A4111E" w:rsidP="004E0786">
            <w:pPr>
              <w:jc w:val="center"/>
              <w:rPr>
                <w:rFonts w:cstheme="minorHAnsi"/>
                <w:iCs/>
                <w:color w:val="000000" w:themeColor="text1"/>
                <w:sz w:val="23"/>
                <w:szCs w:val="23"/>
              </w:rPr>
            </w:pPr>
            <w:r>
              <w:rPr>
                <w:rFonts w:cstheme="minorHAnsi"/>
                <w:iCs/>
                <w:color w:val="000000" w:themeColor="text1"/>
                <w:sz w:val="23"/>
                <w:szCs w:val="23"/>
              </w:rPr>
              <w:t>192</w:t>
            </w:r>
          </w:p>
        </w:tc>
        <w:tc>
          <w:tcPr>
            <w:tcW w:w="2657" w:type="dxa"/>
          </w:tcPr>
          <w:p w14:paraId="3C4B79BA" w14:textId="77777777" w:rsidR="00A4111E" w:rsidRDefault="00A4111E" w:rsidP="004E0786">
            <w:pPr>
              <w:jc w:val="center"/>
              <w:rPr>
                <w:rFonts w:cstheme="minorHAnsi"/>
                <w:iCs/>
                <w:color w:val="000000" w:themeColor="text1"/>
                <w:sz w:val="23"/>
                <w:szCs w:val="23"/>
              </w:rPr>
            </w:pPr>
            <w:r>
              <w:rPr>
                <w:rFonts w:cstheme="minorHAnsi"/>
                <w:iCs/>
                <w:color w:val="000000" w:themeColor="text1"/>
                <w:sz w:val="23"/>
                <w:szCs w:val="23"/>
              </w:rPr>
              <w:t>49</w:t>
            </w:r>
          </w:p>
        </w:tc>
        <w:tc>
          <w:tcPr>
            <w:tcW w:w="1879" w:type="dxa"/>
          </w:tcPr>
          <w:p w14:paraId="36899A08" w14:textId="77777777" w:rsidR="00A4111E" w:rsidRDefault="00A4111E" w:rsidP="004E0786">
            <w:pPr>
              <w:jc w:val="center"/>
              <w:rPr>
                <w:rFonts w:cstheme="minorHAnsi"/>
                <w:iCs/>
                <w:color w:val="000000" w:themeColor="text1"/>
                <w:sz w:val="23"/>
                <w:szCs w:val="23"/>
              </w:rPr>
            </w:pPr>
            <w:r>
              <w:rPr>
                <w:rFonts w:cstheme="minorHAnsi"/>
                <w:iCs/>
                <w:color w:val="000000" w:themeColor="text1"/>
                <w:sz w:val="23"/>
                <w:szCs w:val="23"/>
              </w:rPr>
              <w:t>34,3</w:t>
            </w:r>
          </w:p>
        </w:tc>
      </w:tr>
      <w:tr w:rsidR="00A4111E" w14:paraId="5F7B367C" w14:textId="77777777" w:rsidTr="004E0786">
        <w:tc>
          <w:tcPr>
            <w:tcW w:w="1413" w:type="dxa"/>
          </w:tcPr>
          <w:p w14:paraId="5038800E" w14:textId="77777777" w:rsidR="00A4111E" w:rsidRDefault="00A4111E" w:rsidP="004E0786">
            <w:pPr>
              <w:jc w:val="center"/>
              <w:rPr>
                <w:rFonts w:cstheme="minorHAnsi"/>
                <w:iCs/>
                <w:color w:val="000000" w:themeColor="text1"/>
                <w:sz w:val="23"/>
                <w:szCs w:val="23"/>
              </w:rPr>
            </w:pPr>
            <w:r>
              <w:rPr>
                <w:rFonts w:cstheme="minorHAnsi"/>
                <w:iCs/>
                <w:color w:val="000000" w:themeColor="text1"/>
                <w:sz w:val="23"/>
                <w:szCs w:val="23"/>
              </w:rPr>
              <w:t>2021</w:t>
            </w:r>
          </w:p>
        </w:tc>
        <w:tc>
          <w:tcPr>
            <w:tcW w:w="2551" w:type="dxa"/>
          </w:tcPr>
          <w:p w14:paraId="22957480" w14:textId="77777777" w:rsidR="00A4111E" w:rsidRDefault="00A4111E" w:rsidP="004E0786">
            <w:pPr>
              <w:jc w:val="center"/>
              <w:rPr>
                <w:rFonts w:cstheme="minorHAnsi"/>
                <w:iCs/>
                <w:color w:val="000000" w:themeColor="text1"/>
                <w:sz w:val="23"/>
                <w:szCs w:val="23"/>
              </w:rPr>
            </w:pPr>
            <w:r>
              <w:rPr>
                <w:rFonts w:cstheme="minorHAnsi"/>
                <w:iCs/>
                <w:color w:val="000000" w:themeColor="text1"/>
                <w:sz w:val="23"/>
                <w:szCs w:val="23"/>
              </w:rPr>
              <w:t>235</w:t>
            </w:r>
          </w:p>
        </w:tc>
        <w:tc>
          <w:tcPr>
            <w:tcW w:w="2657" w:type="dxa"/>
          </w:tcPr>
          <w:p w14:paraId="5AA31D0D" w14:textId="77777777" w:rsidR="00A4111E" w:rsidRDefault="00A4111E" w:rsidP="004E0786">
            <w:pPr>
              <w:jc w:val="center"/>
              <w:rPr>
                <w:rFonts w:cstheme="minorHAnsi"/>
                <w:iCs/>
                <w:color w:val="000000" w:themeColor="text1"/>
                <w:sz w:val="23"/>
                <w:szCs w:val="23"/>
              </w:rPr>
            </w:pPr>
            <w:r>
              <w:rPr>
                <w:rFonts w:cstheme="minorHAnsi"/>
                <w:iCs/>
                <w:color w:val="000000" w:themeColor="text1"/>
                <w:sz w:val="23"/>
                <w:szCs w:val="23"/>
              </w:rPr>
              <w:t>43</w:t>
            </w:r>
          </w:p>
        </w:tc>
        <w:tc>
          <w:tcPr>
            <w:tcW w:w="1879" w:type="dxa"/>
          </w:tcPr>
          <w:p w14:paraId="3E9E71A9" w14:textId="77777777" w:rsidR="00A4111E" w:rsidRDefault="00A4111E" w:rsidP="004E0786">
            <w:pPr>
              <w:jc w:val="center"/>
              <w:rPr>
                <w:rFonts w:cstheme="minorHAnsi"/>
                <w:iCs/>
                <w:color w:val="000000" w:themeColor="text1"/>
                <w:sz w:val="23"/>
                <w:szCs w:val="23"/>
              </w:rPr>
            </w:pPr>
            <w:r>
              <w:rPr>
                <w:rFonts w:cstheme="minorHAnsi"/>
                <w:iCs/>
                <w:color w:val="000000" w:themeColor="text1"/>
                <w:sz w:val="23"/>
                <w:szCs w:val="23"/>
              </w:rPr>
              <w:t>22,4</w:t>
            </w:r>
          </w:p>
        </w:tc>
      </w:tr>
    </w:tbl>
    <w:p w14:paraId="14E627F0" w14:textId="77777777" w:rsidR="00A4111E" w:rsidRPr="00EC7646" w:rsidRDefault="00A4111E" w:rsidP="00A4111E">
      <w:pPr>
        <w:spacing w:after="0"/>
        <w:jc w:val="both"/>
        <w:rPr>
          <w:rFonts w:cstheme="minorHAnsi"/>
          <w:iCs/>
          <w:color w:val="000000" w:themeColor="text1"/>
          <w:sz w:val="23"/>
          <w:szCs w:val="23"/>
        </w:rPr>
      </w:pPr>
    </w:p>
    <w:p w14:paraId="5C96E373" w14:textId="77777777" w:rsidR="00A4111E" w:rsidRDefault="00A4111E" w:rsidP="00A4111E">
      <w:pPr>
        <w:spacing w:after="0"/>
        <w:jc w:val="both"/>
        <w:rPr>
          <w:rFonts w:cstheme="minorHAnsi"/>
          <w:iCs/>
          <w:color w:val="000000" w:themeColor="text1"/>
          <w:sz w:val="23"/>
          <w:szCs w:val="23"/>
        </w:rPr>
      </w:pPr>
      <w:r>
        <w:rPr>
          <w:rFonts w:cstheme="minorHAnsi"/>
          <w:iCs/>
          <w:color w:val="000000" w:themeColor="text1"/>
          <w:sz w:val="23"/>
          <w:szCs w:val="23"/>
        </w:rPr>
        <w:t>La</w:t>
      </w:r>
      <w:r w:rsidRPr="00EC7646">
        <w:rPr>
          <w:rFonts w:cstheme="minorHAnsi"/>
          <w:iCs/>
          <w:color w:val="000000" w:themeColor="text1"/>
          <w:sz w:val="23"/>
          <w:szCs w:val="23"/>
        </w:rPr>
        <w:t xml:space="preserve"> alta cantidad de solicitudes presentadas</w:t>
      </w:r>
      <w:r>
        <w:rPr>
          <w:rFonts w:cstheme="minorHAnsi"/>
          <w:iCs/>
          <w:color w:val="000000" w:themeColor="text1"/>
          <w:sz w:val="23"/>
          <w:szCs w:val="23"/>
        </w:rPr>
        <w:t>, así como</w:t>
      </w:r>
      <w:r w:rsidRPr="00EC7646">
        <w:rPr>
          <w:rFonts w:cstheme="minorHAnsi"/>
          <w:iCs/>
          <w:color w:val="000000" w:themeColor="text1"/>
          <w:sz w:val="23"/>
          <w:szCs w:val="23"/>
        </w:rPr>
        <w:t xml:space="preserve"> su alza, se puede</w:t>
      </w:r>
      <w:r>
        <w:rPr>
          <w:rFonts w:cstheme="minorHAnsi"/>
          <w:iCs/>
          <w:color w:val="000000" w:themeColor="text1"/>
          <w:sz w:val="23"/>
          <w:szCs w:val="23"/>
        </w:rPr>
        <w:t>n</w:t>
      </w:r>
      <w:r w:rsidRPr="00EC7646">
        <w:rPr>
          <w:rFonts w:cstheme="minorHAnsi"/>
          <w:iCs/>
          <w:color w:val="000000" w:themeColor="text1"/>
          <w:sz w:val="23"/>
          <w:szCs w:val="23"/>
        </w:rPr>
        <w:t xml:space="preserve"> explicar </w:t>
      </w:r>
      <w:r>
        <w:rPr>
          <w:rFonts w:cstheme="minorHAnsi"/>
          <w:iCs/>
          <w:color w:val="000000" w:themeColor="text1"/>
          <w:sz w:val="23"/>
          <w:szCs w:val="23"/>
        </w:rPr>
        <w:t>entre otros factores por:</w:t>
      </w:r>
    </w:p>
    <w:p w14:paraId="070B6788" w14:textId="77777777" w:rsidR="00A4111E" w:rsidRDefault="00A4111E" w:rsidP="00A4111E">
      <w:pPr>
        <w:pStyle w:val="Prrafodelista"/>
        <w:numPr>
          <w:ilvl w:val="0"/>
          <w:numId w:val="3"/>
        </w:numPr>
        <w:ind w:left="708"/>
        <w:jc w:val="both"/>
        <w:rPr>
          <w:rFonts w:cstheme="minorHAnsi"/>
          <w:sz w:val="23"/>
          <w:szCs w:val="23"/>
        </w:rPr>
      </w:pPr>
      <w:r w:rsidRPr="005D32D2">
        <w:rPr>
          <w:rFonts w:cstheme="minorHAnsi"/>
          <w:sz w:val="23"/>
          <w:szCs w:val="23"/>
        </w:rPr>
        <w:t xml:space="preserve">El alto interés de los desarrolladores de proyectos de Medios </w:t>
      </w:r>
      <w:r>
        <w:rPr>
          <w:rFonts w:cstheme="minorHAnsi"/>
          <w:sz w:val="23"/>
          <w:szCs w:val="23"/>
        </w:rPr>
        <w:t>d</w:t>
      </w:r>
      <w:r w:rsidRPr="005D32D2">
        <w:rPr>
          <w:rFonts w:cstheme="minorHAnsi"/>
          <w:sz w:val="23"/>
          <w:szCs w:val="23"/>
        </w:rPr>
        <w:t xml:space="preserve">e Generación </w:t>
      </w:r>
      <w:r>
        <w:rPr>
          <w:rFonts w:cstheme="minorHAnsi"/>
          <w:sz w:val="23"/>
          <w:szCs w:val="23"/>
        </w:rPr>
        <w:t>d</w:t>
      </w:r>
      <w:r w:rsidRPr="005D32D2">
        <w:rPr>
          <w:rFonts w:cstheme="minorHAnsi"/>
          <w:sz w:val="23"/>
          <w:szCs w:val="23"/>
        </w:rPr>
        <w:t>e Pequeña Escala (o MGPE), en</w:t>
      </w:r>
      <w:r>
        <w:rPr>
          <w:rFonts w:cstheme="minorHAnsi"/>
          <w:sz w:val="23"/>
          <w:szCs w:val="23"/>
        </w:rPr>
        <w:t>tre</w:t>
      </w:r>
      <w:r w:rsidRPr="005D32D2">
        <w:rPr>
          <w:rFonts w:cstheme="minorHAnsi"/>
          <w:sz w:val="23"/>
          <w:szCs w:val="23"/>
        </w:rPr>
        <w:t xml:space="preserve"> los cuales se encuentran los Pequeños Medios de Generación (o PMG) y los Pequeños Medios de Generación Distribuida (o PMGD), en ser declarados en construcción y así contar con la posibilidad de optar al régimen de precios estabilizados determinados por el Precio de Nudo de Corto Plazo, en atención a las disposiciones introducidas por el Decreto Supremo N</w:t>
      </w:r>
      <w:r>
        <w:rPr>
          <w:rFonts w:cstheme="minorHAnsi"/>
          <w:sz w:val="23"/>
          <w:szCs w:val="23"/>
        </w:rPr>
        <w:t>°</w:t>
      </w:r>
      <w:r w:rsidRPr="005D32D2">
        <w:rPr>
          <w:rFonts w:cstheme="minorHAnsi"/>
          <w:sz w:val="23"/>
          <w:szCs w:val="23"/>
        </w:rPr>
        <w:t>88 del Ministerio de Energía, cuyo plazo vence el 8 de abril de 2022</w:t>
      </w:r>
      <w:r>
        <w:rPr>
          <w:rFonts w:cstheme="minorHAnsi"/>
          <w:sz w:val="23"/>
          <w:szCs w:val="23"/>
        </w:rPr>
        <w:t>.</w:t>
      </w:r>
      <w:r w:rsidRPr="005D32D2">
        <w:rPr>
          <w:rFonts w:cstheme="minorHAnsi"/>
          <w:sz w:val="23"/>
          <w:szCs w:val="23"/>
        </w:rPr>
        <w:t xml:space="preserve"> </w:t>
      </w:r>
    </w:p>
    <w:p w14:paraId="5B8F8799" w14:textId="77777777" w:rsidR="00A4111E" w:rsidRPr="005D32D2" w:rsidRDefault="00A4111E" w:rsidP="00A4111E">
      <w:pPr>
        <w:pStyle w:val="Prrafodelista"/>
        <w:numPr>
          <w:ilvl w:val="0"/>
          <w:numId w:val="3"/>
        </w:numPr>
        <w:ind w:left="708"/>
        <w:jc w:val="both"/>
        <w:rPr>
          <w:rFonts w:cstheme="minorHAnsi"/>
          <w:sz w:val="23"/>
          <w:szCs w:val="23"/>
        </w:rPr>
      </w:pPr>
      <w:r w:rsidRPr="005D32D2">
        <w:rPr>
          <w:rFonts w:cstheme="minorHAnsi"/>
          <w:sz w:val="23"/>
          <w:szCs w:val="23"/>
        </w:rPr>
        <w:t>La declaración en construcción de proyectos comprometidos en las licitaciones de suministro</w:t>
      </w:r>
      <w:r>
        <w:rPr>
          <w:rFonts w:cstheme="minorHAnsi"/>
          <w:sz w:val="23"/>
          <w:szCs w:val="23"/>
        </w:rPr>
        <w:t>.</w:t>
      </w:r>
    </w:p>
    <w:p w14:paraId="2C51E574" w14:textId="77777777" w:rsidR="00A4111E" w:rsidRPr="005D32D2" w:rsidRDefault="00A4111E" w:rsidP="00A4111E">
      <w:pPr>
        <w:pStyle w:val="Prrafodelista"/>
        <w:numPr>
          <w:ilvl w:val="0"/>
          <w:numId w:val="3"/>
        </w:numPr>
        <w:ind w:left="708"/>
        <w:jc w:val="both"/>
        <w:rPr>
          <w:rFonts w:cstheme="minorHAnsi"/>
          <w:sz w:val="23"/>
          <w:szCs w:val="23"/>
        </w:rPr>
      </w:pPr>
      <w:r>
        <w:rPr>
          <w:rFonts w:cstheme="minorHAnsi"/>
          <w:sz w:val="23"/>
          <w:szCs w:val="23"/>
        </w:rPr>
        <w:t>El a</w:t>
      </w:r>
      <w:r w:rsidRPr="005D32D2">
        <w:rPr>
          <w:rFonts w:cstheme="minorHAnsi"/>
          <w:sz w:val="23"/>
          <w:szCs w:val="23"/>
        </w:rPr>
        <w:t xml:space="preserve">vance de los programas de descarbonización que han requerido del reemplazo de fuentes de generación convencionales por otras renovables, y </w:t>
      </w:r>
    </w:p>
    <w:p w14:paraId="5CDC6A0E" w14:textId="77777777" w:rsidR="00A4111E" w:rsidRPr="005D32D2" w:rsidRDefault="00A4111E" w:rsidP="00A4111E">
      <w:pPr>
        <w:pStyle w:val="Prrafodelista"/>
        <w:numPr>
          <w:ilvl w:val="0"/>
          <w:numId w:val="3"/>
        </w:numPr>
        <w:ind w:left="708"/>
        <w:jc w:val="both"/>
        <w:rPr>
          <w:rFonts w:cstheme="minorHAnsi"/>
          <w:sz w:val="23"/>
          <w:szCs w:val="23"/>
        </w:rPr>
      </w:pPr>
      <w:r w:rsidRPr="005D32D2">
        <w:rPr>
          <w:rFonts w:cstheme="minorHAnsi"/>
          <w:sz w:val="23"/>
          <w:szCs w:val="23"/>
        </w:rPr>
        <w:t>El mayor conocimiento de las empresas del procedimiento.</w:t>
      </w:r>
    </w:p>
    <w:p w14:paraId="30F07421" w14:textId="77777777" w:rsidR="00B71167" w:rsidRPr="002823D8" w:rsidRDefault="00B71167" w:rsidP="002823D8">
      <w:pPr>
        <w:pStyle w:val="xmsonormal"/>
        <w:spacing w:after="160" w:line="252" w:lineRule="auto"/>
        <w:jc w:val="both"/>
        <w:rPr>
          <w:sz w:val="24"/>
          <w:szCs w:val="24"/>
          <w:lang w:val="es-CL"/>
        </w:rPr>
      </w:pPr>
      <w:r w:rsidRPr="002823D8">
        <w:rPr>
          <w:sz w:val="24"/>
          <w:szCs w:val="24"/>
          <w:lang w:val="es-CL"/>
        </w:rPr>
        <w:t xml:space="preserve">Para afrontar de mejor manera las solicitudes de las empresas, a fines del segundo trimestre de 2021 se comenzó a utilizar una Plataforma Digital para el proceso de Declaración de Proyectos en Construcción, la cual da origen a Resoluciones Exentas individuales, dotando así, de mayor transparencia, trazabilidad y agilidad al proceso. Los proyectos declarados en dichas resoluciones individuales son sistematizados en una única resolución mensual que se emite dentro de los últimos 5 días hábiles del mes. </w:t>
      </w:r>
    </w:p>
    <w:p w14:paraId="1399052A" w14:textId="77777777" w:rsidR="00B71167" w:rsidRPr="002823D8" w:rsidRDefault="00B71167" w:rsidP="002823D8">
      <w:pPr>
        <w:pStyle w:val="xmsonormal"/>
        <w:spacing w:after="160" w:line="252" w:lineRule="auto"/>
        <w:jc w:val="both"/>
        <w:rPr>
          <w:sz w:val="24"/>
          <w:szCs w:val="24"/>
          <w:lang w:val="es-CL"/>
        </w:rPr>
      </w:pPr>
      <w:r w:rsidRPr="002823D8">
        <w:rPr>
          <w:sz w:val="24"/>
          <w:szCs w:val="24"/>
          <w:lang w:val="es-CL"/>
        </w:rPr>
        <w:t xml:space="preserve">En tanto, para el proceso de Modificaciones Relevantes, durante estos últimos años se ha observado un aumento importante de estas solicitudes, lo cual se puede explicar mediante por factores tales como: </w:t>
      </w:r>
    </w:p>
    <w:p w14:paraId="5AE981D6" w14:textId="77777777" w:rsidR="00B71167" w:rsidRPr="002B0111" w:rsidRDefault="00B71167" w:rsidP="00B71167">
      <w:pPr>
        <w:pStyle w:val="Prrafodelista"/>
        <w:numPr>
          <w:ilvl w:val="0"/>
          <w:numId w:val="3"/>
        </w:numPr>
        <w:ind w:left="708"/>
        <w:jc w:val="both"/>
        <w:rPr>
          <w:rFonts w:cstheme="minorHAnsi"/>
          <w:sz w:val="23"/>
          <w:szCs w:val="23"/>
        </w:rPr>
      </w:pPr>
      <w:r w:rsidRPr="002B0111">
        <w:rPr>
          <w:rFonts w:cstheme="minorHAnsi"/>
          <w:sz w:val="23"/>
          <w:szCs w:val="23"/>
        </w:rPr>
        <w:t xml:space="preserve">Cambios significativos en las redes de transmisión producto de la ejecución de diversos proyectos bajo la nueva legislación, </w:t>
      </w:r>
    </w:p>
    <w:p w14:paraId="4B26D8C4" w14:textId="77777777" w:rsidR="00B71167" w:rsidRPr="002B0111" w:rsidRDefault="00B71167" w:rsidP="00B71167">
      <w:pPr>
        <w:pStyle w:val="Prrafodelista"/>
        <w:numPr>
          <w:ilvl w:val="0"/>
          <w:numId w:val="3"/>
        </w:numPr>
        <w:ind w:left="708"/>
        <w:jc w:val="both"/>
        <w:rPr>
          <w:rFonts w:cstheme="minorHAnsi"/>
          <w:sz w:val="23"/>
          <w:szCs w:val="23"/>
        </w:rPr>
      </w:pPr>
      <w:r w:rsidRPr="002B0111">
        <w:rPr>
          <w:rFonts w:cstheme="minorHAnsi"/>
          <w:sz w:val="23"/>
          <w:szCs w:val="23"/>
        </w:rPr>
        <w:t xml:space="preserve">Incremento de solicitudes de retiro de centrales favoreciendo el recambio tecnológico, en particular los procesos de descarbonización, </w:t>
      </w:r>
    </w:p>
    <w:p w14:paraId="2C56B1DE" w14:textId="77777777" w:rsidR="00B71167" w:rsidRPr="002B0111" w:rsidRDefault="00B71167" w:rsidP="00B71167">
      <w:pPr>
        <w:pStyle w:val="Prrafodelista"/>
        <w:numPr>
          <w:ilvl w:val="0"/>
          <w:numId w:val="3"/>
        </w:numPr>
        <w:ind w:left="708"/>
        <w:jc w:val="both"/>
        <w:rPr>
          <w:rFonts w:cstheme="minorHAnsi"/>
          <w:sz w:val="23"/>
          <w:szCs w:val="23"/>
        </w:rPr>
      </w:pPr>
      <w:r w:rsidRPr="002B0111">
        <w:rPr>
          <w:rFonts w:cstheme="minorHAnsi"/>
          <w:sz w:val="23"/>
          <w:szCs w:val="23"/>
        </w:rPr>
        <w:lastRenderedPageBreak/>
        <w:t xml:space="preserve">Incremento de proyectos declarados en construcción que implican el desarrollo de modificaciones relevantes, </w:t>
      </w:r>
    </w:p>
    <w:p w14:paraId="14F26340" w14:textId="77777777" w:rsidR="00B71167" w:rsidRPr="002B0111" w:rsidRDefault="00B71167" w:rsidP="00B71167">
      <w:pPr>
        <w:pStyle w:val="Prrafodelista"/>
        <w:numPr>
          <w:ilvl w:val="0"/>
          <w:numId w:val="3"/>
        </w:numPr>
        <w:ind w:left="708"/>
        <w:jc w:val="both"/>
        <w:rPr>
          <w:rFonts w:cstheme="minorHAnsi"/>
          <w:sz w:val="23"/>
          <w:szCs w:val="23"/>
        </w:rPr>
      </w:pPr>
      <w:r w:rsidRPr="002B0111">
        <w:rPr>
          <w:rFonts w:cstheme="minorHAnsi"/>
          <w:sz w:val="23"/>
          <w:szCs w:val="23"/>
        </w:rPr>
        <w:t xml:space="preserve">El mayor conocimiento de las empresas del procedimiento y </w:t>
      </w:r>
    </w:p>
    <w:p w14:paraId="31D63A4F" w14:textId="77777777" w:rsidR="00B71167" w:rsidRPr="002B0111" w:rsidRDefault="00B71167" w:rsidP="00B71167">
      <w:pPr>
        <w:pStyle w:val="Prrafodelista"/>
        <w:numPr>
          <w:ilvl w:val="0"/>
          <w:numId w:val="3"/>
        </w:numPr>
        <w:ind w:left="708"/>
        <w:jc w:val="both"/>
        <w:rPr>
          <w:rFonts w:cstheme="minorHAnsi"/>
          <w:sz w:val="23"/>
          <w:szCs w:val="23"/>
        </w:rPr>
      </w:pPr>
      <w:r w:rsidRPr="002B0111">
        <w:rPr>
          <w:rFonts w:cstheme="minorHAnsi"/>
          <w:sz w:val="23"/>
          <w:szCs w:val="23"/>
        </w:rPr>
        <w:t>La contingencia sanitaria que ha impulsado la ejecución de distintas tareas ejecutables de manera remota (como lo son la obtención de los permisos).</w:t>
      </w:r>
    </w:p>
    <w:p w14:paraId="0287BB0D" w14:textId="77777777" w:rsidR="00B71167" w:rsidRDefault="00B71167" w:rsidP="00B71167">
      <w:pPr>
        <w:pStyle w:val="NormalWeb"/>
        <w:spacing w:before="0" w:beforeAutospacing="0" w:after="0" w:afterAutospacing="0" w:line="276" w:lineRule="auto"/>
        <w:jc w:val="both"/>
        <w:rPr>
          <w:rFonts w:asciiTheme="minorHAnsi" w:eastAsia="Calibri" w:hAnsiTheme="minorHAnsi" w:cstheme="minorHAnsi"/>
          <w:iCs/>
          <w:color w:val="000000" w:themeColor="text1"/>
          <w:sz w:val="23"/>
          <w:szCs w:val="23"/>
          <w:lang w:val="es-ES" w:eastAsia="en-US"/>
        </w:rPr>
      </w:pPr>
    </w:p>
    <w:tbl>
      <w:tblPr>
        <w:tblStyle w:val="Tablaconcuadrcula"/>
        <w:tblW w:w="0" w:type="auto"/>
        <w:tblLook w:val="04A0" w:firstRow="1" w:lastRow="0" w:firstColumn="1" w:lastColumn="0" w:noHBand="0" w:noVBand="1"/>
      </w:tblPr>
      <w:tblGrid>
        <w:gridCol w:w="1413"/>
        <w:gridCol w:w="2551"/>
        <w:gridCol w:w="2657"/>
        <w:gridCol w:w="1879"/>
      </w:tblGrid>
      <w:tr w:rsidR="00B71167" w14:paraId="434DFEC2" w14:textId="77777777" w:rsidTr="004E0786">
        <w:tc>
          <w:tcPr>
            <w:tcW w:w="1413" w:type="dxa"/>
            <w:vMerge w:val="restart"/>
            <w:vAlign w:val="center"/>
          </w:tcPr>
          <w:p w14:paraId="2C1F86BD" w14:textId="77777777" w:rsidR="00B71167" w:rsidRDefault="00B71167" w:rsidP="004E0786">
            <w:pPr>
              <w:jc w:val="center"/>
              <w:rPr>
                <w:rFonts w:cstheme="minorHAnsi"/>
                <w:iCs/>
                <w:color w:val="000000" w:themeColor="text1"/>
                <w:sz w:val="23"/>
                <w:szCs w:val="23"/>
              </w:rPr>
            </w:pPr>
            <w:r w:rsidRPr="00661873">
              <w:rPr>
                <w:rFonts w:cstheme="minorHAnsi"/>
                <w:b/>
                <w:bCs/>
                <w:iCs/>
                <w:color w:val="000000" w:themeColor="text1"/>
                <w:sz w:val="23"/>
                <w:szCs w:val="23"/>
              </w:rPr>
              <w:t>Año</w:t>
            </w:r>
          </w:p>
        </w:tc>
        <w:tc>
          <w:tcPr>
            <w:tcW w:w="2551" w:type="dxa"/>
            <w:vMerge w:val="restart"/>
            <w:vAlign w:val="center"/>
          </w:tcPr>
          <w:p w14:paraId="5080D029" w14:textId="77777777" w:rsidR="00B71167" w:rsidRDefault="00B71167" w:rsidP="004E0786">
            <w:pPr>
              <w:jc w:val="center"/>
              <w:rPr>
                <w:rFonts w:cstheme="minorHAnsi"/>
                <w:iCs/>
                <w:color w:val="000000" w:themeColor="text1"/>
                <w:sz w:val="23"/>
                <w:szCs w:val="23"/>
              </w:rPr>
            </w:pPr>
            <w:r>
              <w:rPr>
                <w:rFonts w:cstheme="minorHAnsi"/>
                <w:b/>
                <w:bCs/>
                <w:iCs/>
                <w:color w:val="000000" w:themeColor="text1"/>
                <w:sz w:val="23"/>
                <w:szCs w:val="23"/>
              </w:rPr>
              <w:t>Solicitudes Ingresadas</w:t>
            </w:r>
          </w:p>
        </w:tc>
        <w:tc>
          <w:tcPr>
            <w:tcW w:w="4536" w:type="dxa"/>
            <w:gridSpan w:val="2"/>
          </w:tcPr>
          <w:p w14:paraId="78BE9B05" w14:textId="77777777" w:rsidR="00B71167" w:rsidRDefault="00B71167" w:rsidP="004E0786">
            <w:pPr>
              <w:jc w:val="center"/>
              <w:rPr>
                <w:rFonts w:cstheme="minorHAnsi"/>
                <w:iCs/>
                <w:color w:val="000000" w:themeColor="text1"/>
                <w:sz w:val="23"/>
                <w:szCs w:val="23"/>
              </w:rPr>
            </w:pPr>
            <w:r w:rsidRPr="00661873">
              <w:rPr>
                <w:rFonts w:cstheme="minorHAnsi"/>
                <w:b/>
                <w:bCs/>
                <w:iCs/>
                <w:color w:val="000000" w:themeColor="text1"/>
                <w:sz w:val="23"/>
                <w:szCs w:val="23"/>
              </w:rPr>
              <w:t>Aumento respecto del año anterior</w:t>
            </w:r>
          </w:p>
        </w:tc>
      </w:tr>
      <w:tr w:rsidR="00B71167" w:rsidRPr="0027529C" w14:paraId="28A080AD" w14:textId="77777777" w:rsidTr="004E0786">
        <w:tc>
          <w:tcPr>
            <w:tcW w:w="1413" w:type="dxa"/>
            <w:vMerge/>
            <w:vAlign w:val="center"/>
          </w:tcPr>
          <w:p w14:paraId="223340B4" w14:textId="77777777" w:rsidR="00B71167" w:rsidRPr="00661873" w:rsidRDefault="00B71167" w:rsidP="004E0786">
            <w:pPr>
              <w:jc w:val="center"/>
              <w:rPr>
                <w:rFonts w:cstheme="minorHAnsi"/>
                <w:b/>
                <w:bCs/>
                <w:iCs/>
                <w:color w:val="000000" w:themeColor="text1"/>
                <w:sz w:val="23"/>
                <w:szCs w:val="23"/>
              </w:rPr>
            </w:pPr>
          </w:p>
        </w:tc>
        <w:tc>
          <w:tcPr>
            <w:tcW w:w="2551" w:type="dxa"/>
            <w:vMerge/>
            <w:vAlign w:val="center"/>
          </w:tcPr>
          <w:p w14:paraId="23460645" w14:textId="77777777" w:rsidR="00B71167" w:rsidRPr="00661873" w:rsidRDefault="00B71167" w:rsidP="004E0786">
            <w:pPr>
              <w:jc w:val="center"/>
              <w:rPr>
                <w:rFonts w:cstheme="minorHAnsi"/>
                <w:b/>
                <w:bCs/>
                <w:iCs/>
                <w:color w:val="000000" w:themeColor="text1"/>
                <w:sz w:val="23"/>
                <w:szCs w:val="23"/>
              </w:rPr>
            </w:pPr>
          </w:p>
        </w:tc>
        <w:tc>
          <w:tcPr>
            <w:tcW w:w="2657" w:type="dxa"/>
            <w:vAlign w:val="center"/>
          </w:tcPr>
          <w:p w14:paraId="506B467A" w14:textId="77777777" w:rsidR="00B71167" w:rsidRPr="00661873" w:rsidRDefault="00B71167" w:rsidP="004E0786">
            <w:pPr>
              <w:jc w:val="center"/>
              <w:rPr>
                <w:rFonts w:cstheme="minorHAnsi"/>
                <w:b/>
                <w:bCs/>
                <w:iCs/>
                <w:color w:val="000000" w:themeColor="text1"/>
                <w:sz w:val="23"/>
                <w:szCs w:val="23"/>
              </w:rPr>
            </w:pPr>
            <w:r>
              <w:rPr>
                <w:rFonts w:cstheme="minorHAnsi"/>
                <w:b/>
                <w:bCs/>
                <w:iCs/>
                <w:color w:val="000000" w:themeColor="text1"/>
                <w:sz w:val="23"/>
                <w:szCs w:val="23"/>
              </w:rPr>
              <w:t>Cantidad</w:t>
            </w:r>
          </w:p>
        </w:tc>
        <w:tc>
          <w:tcPr>
            <w:tcW w:w="1879" w:type="dxa"/>
            <w:vAlign w:val="center"/>
          </w:tcPr>
          <w:p w14:paraId="3E7BA61D" w14:textId="77777777" w:rsidR="00B71167" w:rsidRPr="0027529C" w:rsidRDefault="00B71167" w:rsidP="004E0786">
            <w:pPr>
              <w:jc w:val="center"/>
              <w:rPr>
                <w:rFonts w:cstheme="minorHAnsi"/>
                <w:b/>
                <w:bCs/>
                <w:iCs/>
                <w:color w:val="000000" w:themeColor="text1"/>
                <w:sz w:val="23"/>
                <w:szCs w:val="23"/>
              </w:rPr>
            </w:pPr>
            <w:r w:rsidRPr="0027529C">
              <w:rPr>
                <w:rFonts w:cstheme="minorHAnsi"/>
                <w:b/>
                <w:bCs/>
                <w:iCs/>
                <w:color w:val="000000" w:themeColor="text1"/>
                <w:sz w:val="23"/>
                <w:szCs w:val="23"/>
              </w:rPr>
              <w:t>Porcentaje</w:t>
            </w:r>
          </w:p>
        </w:tc>
      </w:tr>
      <w:tr w:rsidR="00B71167" w14:paraId="1B125982" w14:textId="77777777" w:rsidTr="004E0786">
        <w:tc>
          <w:tcPr>
            <w:tcW w:w="1413" w:type="dxa"/>
            <w:vAlign w:val="center"/>
          </w:tcPr>
          <w:p w14:paraId="30753408"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2018</w:t>
            </w:r>
          </w:p>
        </w:tc>
        <w:tc>
          <w:tcPr>
            <w:tcW w:w="2551" w:type="dxa"/>
          </w:tcPr>
          <w:p w14:paraId="1B59DFD0"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13</w:t>
            </w:r>
          </w:p>
        </w:tc>
        <w:tc>
          <w:tcPr>
            <w:tcW w:w="2657" w:type="dxa"/>
          </w:tcPr>
          <w:p w14:paraId="61EBFE49"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w:t>
            </w:r>
          </w:p>
        </w:tc>
        <w:tc>
          <w:tcPr>
            <w:tcW w:w="1879" w:type="dxa"/>
          </w:tcPr>
          <w:p w14:paraId="35871A8D"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w:t>
            </w:r>
          </w:p>
        </w:tc>
      </w:tr>
      <w:tr w:rsidR="00B71167" w14:paraId="5623561B" w14:textId="77777777" w:rsidTr="004E0786">
        <w:tc>
          <w:tcPr>
            <w:tcW w:w="1413" w:type="dxa"/>
            <w:vAlign w:val="center"/>
          </w:tcPr>
          <w:p w14:paraId="2A00923D"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2019</w:t>
            </w:r>
          </w:p>
        </w:tc>
        <w:tc>
          <w:tcPr>
            <w:tcW w:w="2551" w:type="dxa"/>
          </w:tcPr>
          <w:p w14:paraId="72F708F8"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19</w:t>
            </w:r>
          </w:p>
        </w:tc>
        <w:tc>
          <w:tcPr>
            <w:tcW w:w="2657" w:type="dxa"/>
          </w:tcPr>
          <w:p w14:paraId="0A2017FF"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6</w:t>
            </w:r>
          </w:p>
        </w:tc>
        <w:tc>
          <w:tcPr>
            <w:tcW w:w="1879" w:type="dxa"/>
          </w:tcPr>
          <w:p w14:paraId="0C453588"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46,2</w:t>
            </w:r>
          </w:p>
        </w:tc>
      </w:tr>
      <w:tr w:rsidR="00B71167" w14:paraId="29F337F4" w14:textId="77777777" w:rsidTr="004E0786">
        <w:tc>
          <w:tcPr>
            <w:tcW w:w="1413" w:type="dxa"/>
            <w:vAlign w:val="center"/>
          </w:tcPr>
          <w:p w14:paraId="24AB3063"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2020</w:t>
            </w:r>
          </w:p>
        </w:tc>
        <w:tc>
          <w:tcPr>
            <w:tcW w:w="2551" w:type="dxa"/>
          </w:tcPr>
          <w:p w14:paraId="566C12FD"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42</w:t>
            </w:r>
          </w:p>
        </w:tc>
        <w:tc>
          <w:tcPr>
            <w:tcW w:w="2657" w:type="dxa"/>
          </w:tcPr>
          <w:p w14:paraId="0B2169A0"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23</w:t>
            </w:r>
          </w:p>
        </w:tc>
        <w:tc>
          <w:tcPr>
            <w:tcW w:w="1879" w:type="dxa"/>
          </w:tcPr>
          <w:p w14:paraId="1BDDE051"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121,1</w:t>
            </w:r>
          </w:p>
        </w:tc>
      </w:tr>
      <w:tr w:rsidR="00B71167" w14:paraId="2BB77F98" w14:textId="77777777" w:rsidTr="004E0786">
        <w:tc>
          <w:tcPr>
            <w:tcW w:w="1413" w:type="dxa"/>
            <w:vAlign w:val="center"/>
          </w:tcPr>
          <w:p w14:paraId="72B64BC7"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2021</w:t>
            </w:r>
          </w:p>
        </w:tc>
        <w:tc>
          <w:tcPr>
            <w:tcW w:w="2551" w:type="dxa"/>
          </w:tcPr>
          <w:p w14:paraId="5685FDB7"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30</w:t>
            </w:r>
          </w:p>
        </w:tc>
        <w:tc>
          <w:tcPr>
            <w:tcW w:w="2657" w:type="dxa"/>
          </w:tcPr>
          <w:p w14:paraId="6D632906"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-12</w:t>
            </w:r>
          </w:p>
        </w:tc>
        <w:tc>
          <w:tcPr>
            <w:tcW w:w="1879" w:type="dxa"/>
          </w:tcPr>
          <w:p w14:paraId="1029B954"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-28,6</w:t>
            </w:r>
          </w:p>
        </w:tc>
      </w:tr>
    </w:tbl>
    <w:p w14:paraId="39A6A6E9" w14:textId="77777777" w:rsidR="00B71167" w:rsidRPr="00EC7646" w:rsidRDefault="00B71167" w:rsidP="00B71167">
      <w:pPr>
        <w:pStyle w:val="NormalWeb"/>
        <w:spacing w:before="0" w:beforeAutospacing="0" w:after="0" w:afterAutospacing="0" w:line="276" w:lineRule="auto"/>
        <w:jc w:val="both"/>
        <w:rPr>
          <w:rFonts w:asciiTheme="minorHAnsi" w:eastAsia="Calibri" w:hAnsiTheme="minorHAnsi" w:cstheme="minorHAnsi"/>
          <w:iCs/>
          <w:color w:val="000000" w:themeColor="text1"/>
          <w:sz w:val="23"/>
          <w:szCs w:val="23"/>
          <w:lang w:val="es-ES" w:eastAsia="en-US"/>
        </w:rPr>
      </w:pPr>
    </w:p>
    <w:p w14:paraId="495E176E" w14:textId="77777777" w:rsidR="00B71167" w:rsidRDefault="00B71167" w:rsidP="00B71167">
      <w:pPr>
        <w:pStyle w:val="NormalWeb"/>
        <w:spacing w:before="0" w:beforeAutospacing="0" w:after="0" w:afterAutospacing="0" w:line="276" w:lineRule="auto"/>
        <w:jc w:val="both"/>
        <w:rPr>
          <w:rFonts w:asciiTheme="minorHAnsi" w:eastAsia="Calibri" w:hAnsiTheme="minorHAnsi" w:cstheme="minorHAnsi"/>
          <w:iCs/>
          <w:color w:val="000000" w:themeColor="text1"/>
          <w:sz w:val="23"/>
          <w:szCs w:val="23"/>
          <w:lang w:val="es-ES" w:eastAsia="en-US"/>
        </w:rPr>
      </w:pPr>
    </w:p>
    <w:p w14:paraId="39B5A82F" w14:textId="77777777" w:rsidR="00B71167" w:rsidRPr="002823D8" w:rsidRDefault="00B71167" w:rsidP="002823D8">
      <w:pPr>
        <w:pStyle w:val="xmsonormal"/>
        <w:spacing w:after="160" w:line="252" w:lineRule="auto"/>
        <w:jc w:val="both"/>
        <w:rPr>
          <w:sz w:val="24"/>
          <w:szCs w:val="24"/>
          <w:lang w:val="es-CL"/>
        </w:rPr>
      </w:pPr>
      <w:r w:rsidRPr="002823D8">
        <w:rPr>
          <w:sz w:val="24"/>
          <w:szCs w:val="24"/>
          <w:lang w:val="es-CL"/>
        </w:rPr>
        <w:t xml:space="preserve">En lo que respecta al proceso de Obras Urgentes, el crecimiento de solicitudes por este mecanismo se puede explicar en varios factores como lo son: </w:t>
      </w:r>
    </w:p>
    <w:p w14:paraId="0901E905" w14:textId="77777777" w:rsidR="00B71167" w:rsidRPr="00EC7646" w:rsidRDefault="00B71167" w:rsidP="00B71167">
      <w:pPr>
        <w:pStyle w:val="NormalWeb"/>
        <w:spacing w:before="0" w:beforeAutospacing="0" w:after="0" w:afterAutospacing="0" w:line="276" w:lineRule="auto"/>
        <w:jc w:val="both"/>
        <w:rPr>
          <w:rFonts w:asciiTheme="minorHAnsi" w:eastAsia="Calibri" w:hAnsiTheme="minorHAnsi" w:cstheme="minorHAnsi"/>
          <w:iCs/>
          <w:color w:val="000000" w:themeColor="text1"/>
          <w:sz w:val="23"/>
          <w:szCs w:val="23"/>
          <w:lang w:val="es-ES" w:eastAsia="en-US"/>
        </w:rPr>
      </w:pPr>
    </w:p>
    <w:p w14:paraId="29552568" w14:textId="77777777" w:rsidR="00B71167" w:rsidRPr="002B0111" w:rsidRDefault="00B71167" w:rsidP="00B71167">
      <w:pPr>
        <w:pStyle w:val="Prrafodelista"/>
        <w:numPr>
          <w:ilvl w:val="0"/>
          <w:numId w:val="3"/>
        </w:numPr>
        <w:ind w:left="708"/>
        <w:jc w:val="both"/>
        <w:rPr>
          <w:rFonts w:cstheme="minorHAnsi"/>
          <w:sz w:val="23"/>
          <w:szCs w:val="23"/>
        </w:rPr>
      </w:pPr>
      <w:r w:rsidRPr="002B0111">
        <w:rPr>
          <w:rFonts w:cstheme="minorHAnsi"/>
          <w:sz w:val="23"/>
          <w:szCs w:val="23"/>
        </w:rPr>
        <w:t xml:space="preserve">Planificación centralizada rígida y con plazos muy extensos para el desarrollo de proyectos, </w:t>
      </w:r>
    </w:p>
    <w:p w14:paraId="4288D049" w14:textId="77777777" w:rsidR="00B71167" w:rsidRPr="002B0111" w:rsidRDefault="00B71167" w:rsidP="00B71167">
      <w:pPr>
        <w:pStyle w:val="Prrafodelista"/>
        <w:numPr>
          <w:ilvl w:val="0"/>
          <w:numId w:val="3"/>
        </w:numPr>
        <w:ind w:left="708"/>
        <w:jc w:val="both"/>
        <w:rPr>
          <w:rFonts w:cstheme="minorHAnsi"/>
          <w:sz w:val="23"/>
          <w:szCs w:val="23"/>
        </w:rPr>
      </w:pPr>
      <w:r w:rsidRPr="002B0111">
        <w:rPr>
          <w:rFonts w:cstheme="minorHAnsi"/>
          <w:sz w:val="23"/>
          <w:szCs w:val="23"/>
        </w:rPr>
        <w:t>Declaraciones desiertas de obras de expansión en licitaciones del Coordinador</w:t>
      </w:r>
      <w:r>
        <w:rPr>
          <w:rFonts w:cstheme="minorHAnsi"/>
          <w:sz w:val="23"/>
          <w:szCs w:val="23"/>
        </w:rPr>
        <w:t xml:space="preserve"> Eléctrico Nacional</w:t>
      </w:r>
    </w:p>
    <w:p w14:paraId="15AB61A1" w14:textId="77777777" w:rsidR="00B71167" w:rsidRPr="002B0111" w:rsidRDefault="00B71167" w:rsidP="00B71167">
      <w:pPr>
        <w:pStyle w:val="Prrafodelista"/>
        <w:numPr>
          <w:ilvl w:val="0"/>
          <w:numId w:val="3"/>
        </w:numPr>
        <w:ind w:left="708"/>
        <w:jc w:val="both"/>
        <w:rPr>
          <w:rFonts w:cstheme="minorHAnsi"/>
          <w:sz w:val="23"/>
          <w:szCs w:val="23"/>
        </w:rPr>
      </w:pPr>
      <w:r w:rsidRPr="002B0111">
        <w:rPr>
          <w:rFonts w:cstheme="minorHAnsi"/>
          <w:sz w:val="23"/>
          <w:szCs w:val="23"/>
        </w:rPr>
        <w:t xml:space="preserve">Cambio regulatorio que permitió el desarrollo de obras de transmisión para la conexión de proyectos dedicados (generación, demanda libre, entre otros) y </w:t>
      </w:r>
    </w:p>
    <w:p w14:paraId="6ACD208C" w14:textId="77777777" w:rsidR="00B71167" w:rsidRDefault="00B71167" w:rsidP="00B71167">
      <w:pPr>
        <w:pStyle w:val="Prrafodelista"/>
        <w:numPr>
          <w:ilvl w:val="0"/>
          <w:numId w:val="3"/>
        </w:numPr>
        <w:ind w:left="708"/>
        <w:jc w:val="both"/>
        <w:rPr>
          <w:rFonts w:cstheme="minorHAnsi"/>
          <w:sz w:val="23"/>
          <w:szCs w:val="23"/>
        </w:rPr>
      </w:pPr>
      <w:r>
        <w:rPr>
          <w:rFonts w:cstheme="minorHAnsi"/>
          <w:sz w:val="23"/>
          <w:szCs w:val="23"/>
        </w:rPr>
        <w:t>C</w:t>
      </w:r>
      <w:r w:rsidRPr="002B0111">
        <w:rPr>
          <w:rFonts w:cstheme="minorHAnsi"/>
          <w:sz w:val="23"/>
          <w:szCs w:val="23"/>
        </w:rPr>
        <w:t>recimientos explosivos de algunos consumos (electromovilidad, sector agrícola, entre otros).</w:t>
      </w:r>
    </w:p>
    <w:tbl>
      <w:tblPr>
        <w:tblStyle w:val="Tablaconcuadrcula"/>
        <w:tblW w:w="0" w:type="auto"/>
        <w:tblLook w:val="04A0" w:firstRow="1" w:lastRow="0" w:firstColumn="1" w:lastColumn="0" w:noHBand="0" w:noVBand="1"/>
      </w:tblPr>
      <w:tblGrid>
        <w:gridCol w:w="1413"/>
        <w:gridCol w:w="2551"/>
        <w:gridCol w:w="2657"/>
        <w:gridCol w:w="1879"/>
      </w:tblGrid>
      <w:tr w:rsidR="00B71167" w14:paraId="552E59E2" w14:textId="77777777" w:rsidTr="004E0786">
        <w:tc>
          <w:tcPr>
            <w:tcW w:w="1413" w:type="dxa"/>
            <w:vMerge w:val="restart"/>
            <w:vAlign w:val="center"/>
          </w:tcPr>
          <w:p w14:paraId="5A668A80" w14:textId="77777777" w:rsidR="00B71167" w:rsidRDefault="00B71167" w:rsidP="004E0786">
            <w:pPr>
              <w:jc w:val="center"/>
              <w:rPr>
                <w:rFonts w:cstheme="minorHAnsi"/>
                <w:iCs/>
                <w:color w:val="000000" w:themeColor="text1"/>
                <w:sz w:val="23"/>
                <w:szCs w:val="23"/>
              </w:rPr>
            </w:pPr>
            <w:r w:rsidRPr="00661873">
              <w:rPr>
                <w:rFonts w:cstheme="minorHAnsi"/>
                <w:b/>
                <w:bCs/>
                <w:iCs/>
                <w:color w:val="000000" w:themeColor="text1"/>
                <w:sz w:val="23"/>
                <w:szCs w:val="23"/>
              </w:rPr>
              <w:t>Año</w:t>
            </w:r>
          </w:p>
        </w:tc>
        <w:tc>
          <w:tcPr>
            <w:tcW w:w="2551" w:type="dxa"/>
            <w:vMerge w:val="restart"/>
            <w:vAlign w:val="center"/>
          </w:tcPr>
          <w:p w14:paraId="2ADC4338" w14:textId="77777777" w:rsidR="00B71167" w:rsidRPr="006B5D39" w:rsidRDefault="00B71167" w:rsidP="004E0786">
            <w:pPr>
              <w:jc w:val="center"/>
              <w:rPr>
                <w:rFonts w:cstheme="minorHAnsi"/>
                <w:iCs/>
                <w:sz w:val="23"/>
                <w:szCs w:val="23"/>
              </w:rPr>
            </w:pPr>
            <w:r w:rsidRPr="006B5D39">
              <w:rPr>
                <w:rFonts w:cstheme="minorHAnsi"/>
                <w:b/>
                <w:bCs/>
                <w:iCs/>
                <w:sz w:val="23"/>
                <w:szCs w:val="23"/>
              </w:rPr>
              <w:t>Solicitudes Ingresadas</w:t>
            </w:r>
          </w:p>
        </w:tc>
        <w:tc>
          <w:tcPr>
            <w:tcW w:w="4536" w:type="dxa"/>
            <w:gridSpan w:val="2"/>
          </w:tcPr>
          <w:p w14:paraId="5F0B7257" w14:textId="77777777" w:rsidR="00B71167" w:rsidRPr="006B5D39" w:rsidRDefault="00B71167" w:rsidP="004E0786">
            <w:pPr>
              <w:jc w:val="center"/>
              <w:rPr>
                <w:rFonts w:cstheme="minorHAnsi"/>
                <w:iCs/>
                <w:sz w:val="23"/>
                <w:szCs w:val="23"/>
              </w:rPr>
            </w:pPr>
            <w:r w:rsidRPr="006B5D39">
              <w:rPr>
                <w:rFonts w:cstheme="minorHAnsi"/>
                <w:b/>
                <w:bCs/>
                <w:iCs/>
                <w:sz w:val="23"/>
                <w:szCs w:val="23"/>
              </w:rPr>
              <w:t>Aumento respecto del año anterior</w:t>
            </w:r>
          </w:p>
        </w:tc>
      </w:tr>
      <w:tr w:rsidR="00B71167" w:rsidRPr="0027529C" w14:paraId="302B2C0E" w14:textId="77777777" w:rsidTr="004E0786">
        <w:tc>
          <w:tcPr>
            <w:tcW w:w="1413" w:type="dxa"/>
            <w:vMerge/>
            <w:vAlign w:val="center"/>
          </w:tcPr>
          <w:p w14:paraId="6E3B0A9E" w14:textId="77777777" w:rsidR="00B71167" w:rsidRPr="00661873" w:rsidRDefault="00B71167" w:rsidP="004E0786">
            <w:pPr>
              <w:jc w:val="center"/>
              <w:rPr>
                <w:rFonts w:cstheme="minorHAnsi"/>
                <w:b/>
                <w:bCs/>
                <w:iCs/>
                <w:color w:val="000000" w:themeColor="text1"/>
                <w:sz w:val="23"/>
                <w:szCs w:val="23"/>
              </w:rPr>
            </w:pPr>
          </w:p>
        </w:tc>
        <w:tc>
          <w:tcPr>
            <w:tcW w:w="2551" w:type="dxa"/>
            <w:vMerge/>
            <w:vAlign w:val="center"/>
          </w:tcPr>
          <w:p w14:paraId="6A132F3B" w14:textId="77777777" w:rsidR="00B71167" w:rsidRPr="00661873" w:rsidRDefault="00B71167" w:rsidP="004E0786">
            <w:pPr>
              <w:jc w:val="center"/>
              <w:rPr>
                <w:rFonts w:cstheme="minorHAnsi"/>
                <w:b/>
                <w:bCs/>
                <w:iCs/>
                <w:color w:val="000000" w:themeColor="text1"/>
                <w:sz w:val="23"/>
                <w:szCs w:val="23"/>
              </w:rPr>
            </w:pPr>
          </w:p>
        </w:tc>
        <w:tc>
          <w:tcPr>
            <w:tcW w:w="2657" w:type="dxa"/>
            <w:vAlign w:val="center"/>
          </w:tcPr>
          <w:p w14:paraId="7D07D08F" w14:textId="77777777" w:rsidR="00B71167" w:rsidRPr="00661873" w:rsidRDefault="00B71167" w:rsidP="004E0786">
            <w:pPr>
              <w:jc w:val="center"/>
              <w:rPr>
                <w:rFonts w:cstheme="minorHAnsi"/>
                <w:b/>
                <w:bCs/>
                <w:iCs/>
                <w:color w:val="000000" w:themeColor="text1"/>
                <w:sz w:val="23"/>
                <w:szCs w:val="23"/>
              </w:rPr>
            </w:pPr>
            <w:r>
              <w:rPr>
                <w:rFonts w:cstheme="minorHAnsi"/>
                <w:b/>
                <w:bCs/>
                <w:iCs/>
                <w:color w:val="000000" w:themeColor="text1"/>
                <w:sz w:val="23"/>
                <w:szCs w:val="23"/>
              </w:rPr>
              <w:t>Cantidad</w:t>
            </w:r>
          </w:p>
        </w:tc>
        <w:tc>
          <w:tcPr>
            <w:tcW w:w="1879" w:type="dxa"/>
            <w:vAlign w:val="center"/>
          </w:tcPr>
          <w:p w14:paraId="2FD8EDE5" w14:textId="77777777" w:rsidR="00B71167" w:rsidRPr="0027529C" w:rsidRDefault="00B71167" w:rsidP="004E0786">
            <w:pPr>
              <w:jc w:val="center"/>
              <w:rPr>
                <w:rFonts w:cstheme="minorHAnsi"/>
                <w:b/>
                <w:bCs/>
                <w:iCs/>
                <w:color w:val="000000" w:themeColor="text1"/>
                <w:sz w:val="23"/>
                <w:szCs w:val="23"/>
              </w:rPr>
            </w:pPr>
            <w:r w:rsidRPr="0027529C">
              <w:rPr>
                <w:rFonts w:cstheme="minorHAnsi"/>
                <w:b/>
                <w:bCs/>
                <w:iCs/>
                <w:color w:val="000000" w:themeColor="text1"/>
                <w:sz w:val="23"/>
                <w:szCs w:val="23"/>
              </w:rPr>
              <w:t>Porcentaje</w:t>
            </w:r>
          </w:p>
        </w:tc>
      </w:tr>
      <w:tr w:rsidR="00B71167" w14:paraId="046EA6A7" w14:textId="77777777" w:rsidTr="004E0786">
        <w:tc>
          <w:tcPr>
            <w:tcW w:w="1413" w:type="dxa"/>
            <w:vAlign w:val="center"/>
          </w:tcPr>
          <w:p w14:paraId="0345E1F7"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2018</w:t>
            </w:r>
          </w:p>
        </w:tc>
        <w:tc>
          <w:tcPr>
            <w:tcW w:w="2551" w:type="dxa"/>
          </w:tcPr>
          <w:p w14:paraId="2AFA8225"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13</w:t>
            </w:r>
          </w:p>
        </w:tc>
        <w:tc>
          <w:tcPr>
            <w:tcW w:w="2657" w:type="dxa"/>
          </w:tcPr>
          <w:p w14:paraId="675F8EDF"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w:t>
            </w:r>
          </w:p>
        </w:tc>
        <w:tc>
          <w:tcPr>
            <w:tcW w:w="1879" w:type="dxa"/>
          </w:tcPr>
          <w:p w14:paraId="57F8F227"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w:t>
            </w:r>
          </w:p>
        </w:tc>
      </w:tr>
      <w:tr w:rsidR="00B71167" w14:paraId="6668F792" w14:textId="77777777" w:rsidTr="004E0786">
        <w:tc>
          <w:tcPr>
            <w:tcW w:w="1413" w:type="dxa"/>
            <w:vAlign w:val="center"/>
          </w:tcPr>
          <w:p w14:paraId="23FBF809"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2019</w:t>
            </w:r>
          </w:p>
        </w:tc>
        <w:tc>
          <w:tcPr>
            <w:tcW w:w="2551" w:type="dxa"/>
          </w:tcPr>
          <w:p w14:paraId="146740EC"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19</w:t>
            </w:r>
          </w:p>
        </w:tc>
        <w:tc>
          <w:tcPr>
            <w:tcW w:w="2657" w:type="dxa"/>
          </w:tcPr>
          <w:p w14:paraId="5832546E"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3</w:t>
            </w:r>
          </w:p>
        </w:tc>
        <w:tc>
          <w:tcPr>
            <w:tcW w:w="1879" w:type="dxa"/>
          </w:tcPr>
          <w:p w14:paraId="1DDDF0BB"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75,0</w:t>
            </w:r>
          </w:p>
        </w:tc>
      </w:tr>
      <w:tr w:rsidR="00B71167" w14:paraId="79C28C87" w14:textId="77777777" w:rsidTr="004E0786">
        <w:tc>
          <w:tcPr>
            <w:tcW w:w="1413" w:type="dxa"/>
            <w:vAlign w:val="center"/>
          </w:tcPr>
          <w:p w14:paraId="63EE7A5F"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2020</w:t>
            </w:r>
          </w:p>
        </w:tc>
        <w:tc>
          <w:tcPr>
            <w:tcW w:w="2551" w:type="dxa"/>
          </w:tcPr>
          <w:p w14:paraId="4ED982A6"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42</w:t>
            </w:r>
          </w:p>
        </w:tc>
        <w:tc>
          <w:tcPr>
            <w:tcW w:w="2657" w:type="dxa"/>
          </w:tcPr>
          <w:p w14:paraId="097608FA"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6</w:t>
            </w:r>
          </w:p>
        </w:tc>
        <w:tc>
          <w:tcPr>
            <w:tcW w:w="1879" w:type="dxa"/>
          </w:tcPr>
          <w:p w14:paraId="10431D2A"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85,7</w:t>
            </w:r>
          </w:p>
        </w:tc>
      </w:tr>
      <w:tr w:rsidR="00B71167" w14:paraId="10130879" w14:textId="77777777" w:rsidTr="004E0786">
        <w:tc>
          <w:tcPr>
            <w:tcW w:w="1413" w:type="dxa"/>
            <w:vAlign w:val="center"/>
          </w:tcPr>
          <w:p w14:paraId="379600B1"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2021</w:t>
            </w:r>
          </w:p>
        </w:tc>
        <w:tc>
          <w:tcPr>
            <w:tcW w:w="2551" w:type="dxa"/>
          </w:tcPr>
          <w:p w14:paraId="10A564A4"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30</w:t>
            </w:r>
          </w:p>
        </w:tc>
        <w:tc>
          <w:tcPr>
            <w:tcW w:w="2657" w:type="dxa"/>
          </w:tcPr>
          <w:p w14:paraId="34128EFE"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-4</w:t>
            </w:r>
          </w:p>
        </w:tc>
        <w:tc>
          <w:tcPr>
            <w:tcW w:w="1879" w:type="dxa"/>
          </w:tcPr>
          <w:p w14:paraId="47046E94" w14:textId="77777777" w:rsidR="00B71167" w:rsidRDefault="00B71167" w:rsidP="004E0786">
            <w:pPr>
              <w:jc w:val="center"/>
              <w:rPr>
                <w:rFonts w:cstheme="minorHAnsi"/>
                <w:iCs/>
                <w:color w:val="000000" w:themeColor="text1"/>
                <w:sz w:val="23"/>
                <w:szCs w:val="23"/>
              </w:rPr>
            </w:pPr>
            <w:r>
              <w:rPr>
                <w:rFonts w:cstheme="minorHAnsi"/>
                <w:iCs/>
                <w:color w:val="000000" w:themeColor="text1"/>
                <w:sz w:val="23"/>
                <w:szCs w:val="23"/>
              </w:rPr>
              <w:t>-30,8</w:t>
            </w:r>
          </w:p>
        </w:tc>
      </w:tr>
    </w:tbl>
    <w:p w14:paraId="62587F88" w14:textId="77777777" w:rsidR="00BA3237" w:rsidRPr="0020595E" w:rsidRDefault="00BA3237" w:rsidP="000A21DC">
      <w:pPr>
        <w:jc w:val="both"/>
        <w:rPr>
          <w:rFonts w:cstheme="minorHAnsi"/>
          <w:sz w:val="23"/>
          <w:szCs w:val="23"/>
          <w:highlight w:val="yellow"/>
        </w:rPr>
      </w:pPr>
    </w:p>
    <w:p w14:paraId="55FC67E5" w14:textId="60DD5C3F" w:rsidR="0084132C" w:rsidRPr="005B5606" w:rsidRDefault="0084132C" w:rsidP="005B5606">
      <w:pPr>
        <w:pStyle w:val="Prrafodelista"/>
        <w:spacing w:before="100" w:beforeAutospacing="1" w:after="100" w:afterAutospacing="1" w:line="240" w:lineRule="auto"/>
        <w:ind w:left="360" w:hanging="360"/>
        <w:jc w:val="both"/>
        <w:rPr>
          <w:rFonts w:eastAsia="Times New Roman" w:cstheme="minorHAnsi"/>
          <w:b/>
          <w:bCs/>
          <w:sz w:val="24"/>
          <w:szCs w:val="24"/>
          <w:lang w:eastAsia="es-CL"/>
        </w:rPr>
      </w:pPr>
      <w:r w:rsidRPr="005B5606">
        <w:rPr>
          <w:rFonts w:eastAsia="Times New Roman" w:cstheme="minorHAnsi"/>
          <w:b/>
          <w:bCs/>
          <w:sz w:val="24"/>
          <w:szCs w:val="24"/>
          <w:lang w:eastAsia="es-CL"/>
        </w:rPr>
        <w:t>En el Ámbito de Valorización de Instalaciones de Transmisión</w:t>
      </w:r>
    </w:p>
    <w:p w14:paraId="716A4583" w14:textId="77777777" w:rsidR="002823D8" w:rsidRPr="002823D8" w:rsidRDefault="002823D8" w:rsidP="002823D8">
      <w:pPr>
        <w:pStyle w:val="xmsonormal"/>
        <w:spacing w:after="160" w:line="252" w:lineRule="auto"/>
        <w:jc w:val="both"/>
        <w:rPr>
          <w:sz w:val="24"/>
          <w:szCs w:val="24"/>
          <w:lang w:val="es-CL"/>
        </w:rPr>
      </w:pPr>
      <w:r w:rsidRPr="002823D8">
        <w:rPr>
          <w:sz w:val="24"/>
          <w:szCs w:val="24"/>
          <w:lang w:val="es-CL"/>
        </w:rPr>
        <w:t xml:space="preserve">Durante el periodo comprendido entre los años 2018 y 2021 la CNE llevó adelante el primer proceso de Valorización de las Instalaciones de Transmisión 2020 – 2023 de manera conjunta de los sistemas de Transmisión Nacional, Zonal, del Sistema de Transmisión para Polos de Desarrollo y de las Instalaciones de Transmisión Dedicada utilizadas por usuarios sometidos a regulación de precios. </w:t>
      </w:r>
    </w:p>
    <w:p w14:paraId="45F199AC" w14:textId="77777777" w:rsidR="002823D8" w:rsidRPr="002823D8" w:rsidRDefault="002823D8" w:rsidP="002823D8">
      <w:pPr>
        <w:pStyle w:val="xmsonormal"/>
        <w:spacing w:after="160" w:line="252" w:lineRule="auto"/>
        <w:jc w:val="both"/>
        <w:rPr>
          <w:sz w:val="24"/>
          <w:szCs w:val="24"/>
          <w:lang w:val="es-CL"/>
        </w:rPr>
      </w:pPr>
      <w:r w:rsidRPr="002823D8">
        <w:rPr>
          <w:sz w:val="24"/>
          <w:szCs w:val="24"/>
          <w:lang w:val="es-CL"/>
        </w:rPr>
        <w:lastRenderedPageBreak/>
        <w:t>Durante los años 2018 y 2019, la CNE aprobó las “Bases Técnicas y Administrativas Definitivas para la Realización de los Estudios de Valorización de los Sistemas de Transmisión”, junto a las cuales realizó el llamado a licitación pública internacional para el desarrollo de los estudios de valorización de instalaciones de transmisión, al que se refiere el artículo 108° de la Ley. Constituyéndose además el Comité para la adjudicación y supervisión de los estudios de valorización.</w:t>
      </w:r>
    </w:p>
    <w:p w14:paraId="3C9D27F5" w14:textId="096E8327" w:rsidR="0084132C" w:rsidRPr="002823D8" w:rsidRDefault="002823D8" w:rsidP="002823D8">
      <w:pPr>
        <w:pStyle w:val="xmsonormal"/>
        <w:spacing w:after="160" w:line="252" w:lineRule="auto"/>
        <w:jc w:val="both"/>
        <w:rPr>
          <w:sz w:val="24"/>
          <w:szCs w:val="24"/>
          <w:lang w:val="es-CL"/>
        </w:rPr>
      </w:pPr>
      <w:r w:rsidRPr="002823D8">
        <w:rPr>
          <w:sz w:val="24"/>
          <w:szCs w:val="24"/>
          <w:lang w:val="es-CL"/>
        </w:rPr>
        <w:t>En el</w:t>
      </w:r>
      <w:r w:rsidR="0084132C" w:rsidRPr="002823D8">
        <w:rPr>
          <w:sz w:val="24"/>
          <w:szCs w:val="24"/>
          <w:lang w:val="es-CL"/>
        </w:rPr>
        <w:t xml:space="preserve"> año 2020 se desarrollaron los Estudio</w:t>
      </w:r>
      <w:r w:rsidRPr="002823D8">
        <w:rPr>
          <w:sz w:val="24"/>
          <w:szCs w:val="24"/>
          <w:lang w:val="es-CL"/>
        </w:rPr>
        <w:t>s</w:t>
      </w:r>
      <w:r w:rsidR="0084132C" w:rsidRPr="002823D8">
        <w:rPr>
          <w:sz w:val="24"/>
          <w:szCs w:val="24"/>
          <w:lang w:val="es-CL"/>
        </w:rPr>
        <w:t xml:space="preserve"> de Valorización de las instalaciones de Transmisión, donde los informes de avance y finales fueron revisados, observados y aprobados por el Comité. </w:t>
      </w:r>
      <w:r w:rsidRPr="002823D8">
        <w:rPr>
          <w:sz w:val="24"/>
          <w:szCs w:val="24"/>
          <w:lang w:val="es-CL"/>
        </w:rPr>
        <w:t>Pudiendo</w:t>
      </w:r>
      <w:r w:rsidR="0084132C" w:rsidRPr="002823D8">
        <w:rPr>
          <w:sz w:val="24"/>
          <w:szCs w:val="24"/>
          <w:lang w:val="es-CL"/>
        </w:rPr>
        <w:t xml:space="preserve">, los participantes y usuarios e instituciones interesadas inscritos en el registro al que se refiere el artículo 90° de la Ley, realizar observaciones a dichos informes. Los estudios culminaron con la correspondiente audiencia pública, donde los consultores expusieron las metodologías y resultados </w:t>
      </w:r>
      <w:r w:rsidRPr="002823D8">
        <w:rPr>
          <w:sz w:val="24"/>
          <w:szCs w:val="24"/>
          <w:lang w:val="es-CL"/>
        </w:rPr>
        <w:t>obtenidos</w:t>
      </w:r>
      <w:r w:rsidR="0084132C" w:rsidRPr="002823D8">
        <w:rPr>
          <w:sz w:val="24"/>
          <w:szCs w:val="24"/>
          <w:lang w:val="es-CL"/>
        </w:rPr>
        <w:t>.</w:t>
      </w:r>
    </w:p>
    <w:p w14:paraId="6D61B835" w14:textId="77777777" w:rsidR="002823D8" w:rsidRPr="002823D8" w:rsidRDefault="002823D8" w:rsidP="002823D8">
      <w:pPr>
        <w:pStyle w:val="xmsonormal"/>
        <w:spacing w:after="160" w:line="252" w:lineRule="auto"/>
        <w:jc w:val="both"/>
        <w:rPr>
          <w:sz w:val="24"/>
          <w:szCs w:val="24"/>
          <w:lang w:val="es-CL"/>
        </w:rPr>
      </w:pPr>
      <w:r w:rsidRPr="002823D8">
        <w:rPr>
          <w:sz w:val="24"/>
          <w:szCs w:val="24"/>
          <w:lang w:val="es-CL"/>
        </w:rPr>
        <w:t>Durante el año 2021, en virtud de lo señalado en el artículo 112° de la Ley, la CNE desarrolló su Informe Técnico Preliminar, el cual fue aprobado mediante la Resolución Exenta N°95 de 6 de abril de 2021. Posteriormente, dicho informe recibió las observaciones de los distintos actores de la industria que se encuentran en el registro de participación ciudadana. Con ello, la CNE emitió su Informe Técnico Final, aprobado mediante la Resolución Exenta N°251 de 2 de agosto de 2021, respecto del cual distintas empresas transmisoras presentaron sus discrepancias frente al Panel de Expertos. Al término del año 2021, la CNE se encuentra a la espera del Dictamen de dicho Panel, a fin de proceder a su implementación y a desarrollar su Informe Técnico Definitivo.</w:t>
      </w:r>
    </w:p>
    <w:p w14:paraId="6385FEAF" w14:textId="77777777" w:rsidR="007260E5" w:rsidRPr="000E4086" w:rsidRDefault="007260E5" w:rsidP="007260E5">
      <w:pPr>
        <w:spacing w:before="100" w:beforeAutospacing="1" w:after="100" w:afterAutospacing="1" w:line="240" w:lineRule="auto"/>
        <w:jc w:val="both"/>
        <w:rPr>
          <w:rFonts w:eastAsia="Times New Roman" w:cstheme="minorHAnsi"/>
          <w:b/>
          <w:bCs/>
          <w:sz w:val="24"/>
          <w:szCs w:val="24"/>
          <w:lang w:eastAsia="es-CL"/>
        </w:rPr>
      </w:pPr>
      <w:r w:rsidRPr="000E4086">
        <w:rPr>
          <w:rFonts w:eastAsia="Times New Roman" w:cstheme="minorHAnsi"/>
          <w:b/>
          <w:bCs/>
          <w:sz w:val="24"/>
          <w:szCs w:val="24"/>
          <w:lang w:eastAsia="es-CL"/>
        </w:rPr>
        <w:t>En el Ámbito de la Calificación de Instalaciones de Transmisión</w:t>
      </w:r>
    </w:p>
    <w:p w14:paraId="5D7571CB" w14:textId="77777777" w:rsidR="007260E5" w:rsidRPr="00020442" w:rsidRDefault="007260E5" w:rsidP="007260E5">
      <w:pPr>
        <w:spacing w:after="0"/>
        <w:jc w:val="both"/>
        <w:rPr>
          <w:rFonts w:cstheme="minorHAnsi"/>
          <w:iCs/>
          <w:color w:val="FF0000"/>
          <w:sz w:val="23"/>
          <w:szCs w:val="23"/>
        </w:rPr>
      </w:pPr>
      <w:r w:rsidRPr="00EC7646">
        <w:rPr>
          <w:rFonts w:cstheme="minorHAnsi"/>
          <w:iCs/>
          <w:color w:val="000000" w:themeColor="text1"/>
          <w:sz w:val="23"/>
          <w:szCs w:val="23"/>
        </w:rPr>
        <w:t xml:space="preserve">De acuerdo a lo establecido en los Artículos 100° y 101° de la Ley de Servicios Eléctricos, la Comisión Nacional de Energía aprobó en el mes de noviembre el “Informe Técnico Final de Calificaciones de Instalaciones de los Sistemas de Transmisión para el Período 2020 – 2023”, el cual mediante la utilización de una metodología propuesta, establece la identificación de pertenencia, para efecto de su valorización, de las instalaciones de transmisión en los segmentos Sistema Nacional, Sistema Zonal o Sistema Dedicado. </w:t>
      </w:r>
    </w:p>
    <w:p w14:paraId="7D9B659D" w14:textId="77777777" w:rsidR="007260E5" w:rsidRPr="00EC7646" w:rsidRDefault="007260E5" w:rsidP="007260E5">
      <w:pPr>
        <w:spacing w:after="0"/>
        <w:jc w:val="both"/>
        <w:rPr>
          <w:rFonts w:cstheme="minorHAnsi"/>
          <w:iCs/>
          <w:color w:val="000000" w:themeColor="text1"/>
          <w:sz w:val="23"/>
          <w:szCs w:val="23"/>
        </w:rPr>
      </w:pPr>
    </w:p>
    <w:p w14:paraId="4D963551" w14:textId="77777777" w:rsidR="007260E5" w:rsidRDefault="007260E5" w:rsidP="007260E5">
      <w:pPr>
        <w:spacing w:after="0"/>
        <w:jc w:val="both"/>
        <w:rPr>
          <w:rFonts w:cstheme="minorHAnsi"/>
          <w:iCs/>
          <w:color w:val="000000" w:themeColor="text1"/>
          <w:sz w:val="23"/>
          <w:szCs w:val="23"/>
        </w:rPr>
      </w:pPr>
      <w:r w:rsidRPr="00EC7646">
        <w:rPr>
          <w:rFonts w:cstheme="minorHAnsi"/>
          <w:iCs/>
          <w:color w:val="000000" w:themeColor="text1"/>
          <w:sz w:val="23"/>
          <w:szCs w:val="23"/>
        </w:rPr>
        <w:t>El referido Informe Final, de acuerdo con lo señalado en el inciso tercero del artículo 101° de Ley, fue objeto de la presentación de discrepancias ante el Panel de Expertos por parte de 9 entidades. Con fecha 19 de marzo de 2019 el Panel de Expertos emitió el Dictamen N°15-2018, el que fue comunicado a la CNE y a los participantes, usuarios e instituciones interesadas</w:t>
      </w:r>
      <w:r>
        <w:rPr>
          <w:rFonts w:cstheme="minorHAnsi"/>
          <w:iCs/>
          <w:color w:val="000000" w:themeColor="text1"/>
          <w:sz w:val="23"/>
          <w:szCs w:val="23"/>
        </w:rPr>
        <w:t>.</w:t>
      </w:r>
    </w:p>
    <w:p w14:paraId="168832E1" w14:textId="77777777" w:rsidR="007260E5" w:rsidRPr="00EC7646" w:rsidRDefault="007260E5" w:rsidP="007260E5">
      <w:pPr>
        <w:spacing w:after="0"/>
        <w:jc w:val="both"/>
        <w:rPr>
          <w:rFonts w:cstheme="minorHAnsi"/>
          <w:iCs/>
          <w:color w:val="000000" w:themeColor="text1"/>
          <w:sz w:val="23"/>
          <w:szCs w:val="23"/>
        </w:rPr>
      </w:pPr>
    </w:p>
    <w:p w14:paraId="02149C09" w14:textId="77777777" w:rsidR="007260E5" w:rsidRPr="0020595E" w:rsidRDefault="007260E5" w:rsidP="007260E5">
      <w:pPr>
        <w:spacing w:after="0"/>
        <w:jc w:val="both"/>
        <w:rPr>
          <w:rFonts w:cstheme="minorHAnsi"/>
          <w:iCs/>
          <w:color w:val="000000" w:themeColor="text1"/>
          <w:sz w:val="23"/>
          <w:szCs w:val="23"/>
        </w:rPr>
      </w:pPr>
      <w:r>
        <w:rPr>
          <w:rFonts w:cstheme="minorHAnsi"/>
          <w:iCs/>
          <w:color w:val="000000" w:themeColor="text1"/>
          <w:sz w:val="23"/>
          <w:szCs w:val="23"/>
        </w:rPr>
        <w:t>Finalmente,</w:t>
      </w:r>
      <w:r w:rsidRPr="00EC7646">
        <w:rPr>
          <w:rFonts w:cstheme="minorHAnsi"/>
          <w:iCs/>
          <w:color w:val="000000" w:themeColor="text1"/>
          <w:sz w:val="23"/>
          <w:szCs w:val="23"/>
        </w:rPr>
        <w:t xml:space="preserve"> </w:t>
      </w:r>
      <w:r>
        <w:rPr>
          <w:rFonts w:cstheme="minorHAnsi"/>
          <w:iCs/>
          <w:color w:val="000000" w:themeColor="text1"/>
          <w:sz w:val="23"/>
          <w:szCs w:val="23"/>
        </w:rPr>
        <w:t>l</w:t>
      </w:r>
      <w:r w:rsidRPr="00EC7646">
        <w:rPr>
          <w:rFonts w:cstheme="minorHAnsi"/>
          <w:iCs/>
          <w:color w:val="000000" w:themeColor="text1"/>
          <w:sz w:val="23"/>
          <w:szCs w:val="23"/>
        </w:rPr>
        <w:t xml:space="preserve">a </w:t>
      </w:r>
      <w:r>
        <w:rPr>
          <w:rFonts w:cstheme="minorHAnsi"/>
          <w:iCs/>
          <w:color w:val="000000" w:themeColor="text1"/>
          <w:sz w:val="23"/>
          <w:szCs w:val="23"/>
        </w:rPr>
        <w:t>CNE</w:t>
      </w:r>
      <w:r w:rsidRPr="00EC7646">
        <w:rPr>
          <w:rFonts w:cstheme="minorHAnsi"/>
          <w:iCs/>
          <w:color w:val="000000" w:themeColor="text1"/>
          <w:sz w:val="23"/>
          <w:szCs w:val="23"/>
        </w:rPr>
        <w:t xml:space="preserve"> emit</w:t>
      </w:r>
      <w:r>
        <w:rPr>
          <w:rFonts w:cstheme="minorHAnsi"/>
          <w:iCs/>
          <w:color w:val="000000" w:themeColor="text1"/>
          <w:sz w:val="23"/>
          <w:szCs w:val="23"/>
        </w:rPr>
        <w:t>ió</w:t>
      </w:r>
      <w:r w:rsidRPr="00EC7646">
        <w:rPr>
          <w:rFonts w:cstheme="minorHAnsi"/>
          <w:iCs/>
          <w:color w:val="000000" w:themeColor="text1"/>
          <w:sz w:val="23"/>
          <w:szCs w:val="23"/>
        </w:rPr>
        <w:t xml:space="preserve"> la Resolución Exenta N°244 del 09 de abril de 2019 </w:t>
      </w:r>
      <w:r>
        <w:rPr>
          <w:rFonts w:cstheme="minorHAnsi"/>
          <w:iCs/>
          <w:color w:val="000000" w:themeColor="text1"/>
          <w:sz w:val="23"/>
          <w:szCs w:val="23"/>
        </w:rPr>
        <w:t xml:space="preserve">en la </w:t>
      </w:r>
      <w:r w:rsidRPr="00EC7646">
        <w:rPr>
          <w:rFonts w:cstheme="minorHAnsi"/>
          <w:iCs/>
          <w:color w:val="000000" w:themeColor="text1"/>
          <w:sz w:val="23"/>
          <w:szCs w:val="23"/>
        </w:rPr>
        <w:t>que</w:t>
      </w:r>
      <w:r>
        <w:rPr>
          <w:rFonts w:cstheme="minorHAnsi"/>
          <w:iCs/>
          <w:color w:val="000000" w:themeColor="text1"/>
          <w:sz w:val="23"/>
          <w:szCs w:val="23"/>
        </w:rPr>
        <w:t>,</w:t>
      </w:r>
      <w:r w:rsidRPr="00EC7646">
        <w:rPr>
          <w:rFonts w:cstheme="minorHAnsi"/>
          <w:iCs/>
          <w:color w:val="000000" w:themeColor="text1"/>
          <w:sz w:val="23"/>
          <w:szCs w:val="23"/>
        </w:rPr>
        <w:t xml:space="preserve"> “Aprueba Informe Técnico Definitivo de Calificación de Instalaciones de los Sistemas de Transmisión para el Periodo 2020 – 2023”.</w:t>
      </w:r>
    </w:p>
    <w:p w14:paraId="2A5BB40A" w14:textId="77777777" w:rsidR="00C412D2" w:rsidRPr="0020595E" w:rsidRDefault="00C412D2" w:rsidP="000A21DC">
      <w:pPr>
        <w:jc w:val="both"/>
        <w:rPr>
          <w:rFonts w:cstheme="minorHAnsi"/>
          <w:sz w:val="23"/>
          <w:szCs w:val="23"/>
          <w:highlight w:val="yellow"/>
        </w:rPr>
      </w:pPr>
    </w:p>
    <w:p w14:paraId="2D247DFA" w14:textId="77777777" w:rsidR="007260E5" w:rsidRPr="000E4086" w:rsidRDefault="007260E5" w:rsidP="007260E5">
      <w:pPr>
        <w:spacing w:before="100" w:beforeAutospacing="1" w:after="100" w:afterAutospacing="1" w:line="240" w:lineRule="auto"/>
        <w:jc w:val="both"/>
        <w:rPr>
          <w:rFonts w:eastAsia="Times New Roman" w:cstheme="minorHAnsi"/>
          <w:b/>
          <w:bCs/>
          <w:sz w:val="24"/>
          <w:szCs w:val="24"/>
          <w:lang w:eastAsia="es-CL"/>
        </w:rPr>
      </w:pPr>
      <w:r w:rsidRPr="000E4086">
        <w:rPr>
          <w:rFonts w:eastAsia="Times New Roman" w:cstheme="minorHAnsi"/>
          <w:b/>
          <w:bCs/>
          <w:sz w:val="24"/>
          <w:szCs w:val="24"/>
          <w:lang w:eastAsia="es-CL"/>
        </w:rPr>
        <w:lastRenderedPageBreak/>
        <w:t>En el Ámbito de la Definición de Servicios Complementarios</w:t>
      </w:r>
    </w:p>
    <w:p w14:paraId="10ECBA05" w14:textId="77777777" w:rsidR="00241E2C" w:rsidRPr="003F07F6" w:rsidRDefault="00241E2C" w:rsidP="002823D8">
      <w:pPr>
        <w:pStyle w:val="xmsonormal"/>
        <w:spacing w:after="160" w:line="252" w:lineRule="auto"/>
        <w:jc w:val="both"/>
        <w:rPr>
          <w:sz w:val="24"/>
          <w:szCs w:val="24"/>
          <w:lang w:val="es-CL"/>
        </w:rPr>
      </w:pPr>
      <w:r w:rsidRPr="003F07F6">
        <w:rPr>
          <w:sz w:val="24"/>
          <w:szCs w:val="24"/>
          <w:lang w:val="es-CL"/>
        </w:rPr>
        <w:t xml:space="preserve">En el mes de diciembre de 2018, </w:t>
      </w:r>
      <w:proofErr w:type="gramStart"/>
      <w:r w:rsidRPr="003F07F6">
        <w:rPr>
          <w:sz w:val="24"/>
          <w:szCs w:val="24"/>
          <w:lang w:val="es-CL"/>
        </w:rPr>
        <w:t>de acuerdo a</w:t>
      </w:r>
      <w:proofErr w:type="gramEnd"/>
      <w:r w:rsidRPr="003F07F6">
        <w:rPr>
          <w:sz w:val="24"/>
          <w:szCs w:val="24"/>
          <w:lang w:val="es-CL"/>
        </w:rPr>
        <w:t xml:space="preserve"> lo establecido en el artículo 72°-7 de Ley N°20.936, se aprobó el Informe de Definición de Servicios Complementarios. Dicha definición establece servicios tales como: Control de Frecuencia, Control de Tensión, Control de Contingencias y Plan de Recuperación de Servicio y sus categorías, en atención a las necesidades de seguridad y calidad de los sistemas eléctricos y las características tecnológicas de dichos servicios. Adicionalmente, se incluyeron las prestaciones específicas y atributos que se deberán considerar para efectos de remunerar cada uno de los Servicios Complementarios y su calificación sistémica o local.</w:t>
      </w:r>
    </w:p>
    <w:p w14:paraId="64A90CB5" w14:textId="1F254A0F" w:rsidR="00241E2C" w:rsidRPr="003F07F6" w:rsidRDefault="00241E2C" w:rsidP="002823D8">
      <w:pPr>
        <w:pStyle w:val="xmsonormal"/>
        <w:spacing w:after="160" w:line="252" w:lineRule="auto"/>
        <w:jc w:val="both"/>
        <w:rPr>
          <w:sz w:val="24"/>
          <w:szCs w:val="24"/>
          <w:lang w:val="es-CL"/>
        </w:rPr>
      </w:pPr>
      <w:r w:rsidRPr="003F07F6">
        <w:rPr>
          <w:sz w:val="24"/>
          <w:szCs w:val="24"/>
          <w:lang w:val="es-CL"/>
        </w:rPr>
        <w:t>Un año después, en diciembre de 2019, se aprueba</w:t>
      </w:r>
      <w:r w:rsidR="007260E5" w:rsidRPr="003F07F6">
        <w:rPr>
          <w:sz w:val="24"/>
          <w:szCs w:val="24"/>
          <w:lang w:val="es-CL"/>
        </w:rPr>
        <w:t xml:space="preserve">n, algunas </w:t>
      </w:r>
      <w:r w:rsidRPr="003F07F6">
        <w:rPr>
          <w:sz w:val="24"/>
          <w:szCs w:val="24"/>
          <w:lang w:val="es-CL"/>
        </w:rPr>
        <w:t xml:space="preserve">modificaciones al Informe de Definición de Servicios Complementarios, incorporándose, entre </w:t>
      </w:r>
      <w:r w:rsidR="007260E5" w:rsidRPr="003F07F6">
        <w:rPr>
          <w:sz w:val="24"/>
          <w:szCs w:val="24"/>
          <w:lang w:val="es-CL"/>
        </w:rPr>
        <w:t>otros,</w:t>
      </w:r>
      <w:r w:rsidRPr="003F07F6">
        <w:rPr>
          <w:sz w:val="24"/>
          <w:szCs w:val="24"/>
          <w:lang w:val="es-CL"/>
        </w:rPr>
        <w:t xml:space="preserve"> los conceptos de Error de Control de Área, Tiempo de Inicio de Activación, Tiempo Total de Activación, Tiempo de Entrega y Recurso Técnico Comprometido. Se realizaron, igualmente, modificaciones en los tiempos de respuesta asociados a los servicios de Control de Frecuencia y sus distintas categorías.</w:t>
      </w:r>
    </w:p>
    <w:p w14:paraId="4459731D" w14:textId="7496DED0" w:rsidR="00241E2C" w:rsidRPr="003F07F6" w:rsidRDefault="00241E2C" w:rsidP="002823D8">
      <w:pPr>
        <w:pStyle w:val="xmsonormal"/>
        <w:spacing w:after="160" w:line="252" w:lineRule="auto"/>
        <w:jc w:val="both"/>
        <w:rPr>
          <w:sz w:val="24"/>
          <w:szCs w:val="24"/>
          <w:lang w:val="es-CL"/>
        </w:rPr>
      </w:pPr>
      <w:r w:rsidRPr="003F07F6">
        <w:rPr>
          <w:sz w:val="24"/>
          <w:szCs w:val="24"/>
          <w:lang w:val="es-CL"/>
        </w:rPr>
        <w:t>Adicionalmente, ese mismo mes, se aprobó la Norma Técnica de Servicios Complementarios, que regula las materias asociadas al detalle de la implementación y puesta en operación de los mecanismos de materialización del nuevo régimen de Servicios Complementarios que mandata la Ley N°20.936. Adicionalmente, esta resolución aprueba modificaciones a la Norma Técnica de Seguridad y Calidad de Servicio (</w:t>
      </w:r>
      <w:proofErr w:type="spellStart"/>
      <w:r w:rsidRPr="003F07F6">
        <w:rPr>
          <w:sz w:val="24"/>
          <w:szCs w:val="24"/>
          <w:lang w:val="es-CL"/>
        </w:rPr>
        <w:t>NTSyCS</w:t>
      </w:r>
      <w:proofErr w:type="spellEnd"/>
      <w:r w:rsidRPr="003F07F6">
        <w:rPr>
          <w:sz w:val="24"/>
          <w:szCs w:val="24"/>
          <w:lang w:val="es-CL"/>
        </w:rPr>
        <w:t xml:space="preserve">) y a algunos de sus Anexos Técnicos, así como el texto refundido y sistematizado de la </w:t>
      </w:r>
      <w:proofErr w:type="spellStart"/>
      <w:r w:rsidRPr="003F07F6">
        <w:rPr>
          <w:sz w:val="24"/>
          <w:szCs w:val="24"/>
          <w:lang w:val="es-CL"/>
        </w:rPr>
        <w:t>NTSyCS</w:t>
      </w:r>
      <w:proofErr w:type="spellEnd"/>
      <w:r w:rsidRPr="003F07F6">
        <w:rPr>
          <w:sz w:val="24"/>
          <w:szCs w:val="24"/>
          <w:lang w:val="es-CL"/>
        </w:rPr>
        <w:t xml:space="preserve"> y sus anexos, a efectos de incorporar las actualizaciones necesarias a propósito de la puesta en vigencia del nuevo régimen de SSCC.</w:t>
      </w:r>
    </w:p>
    <w:p w14:paraId="36A206F0" w14:textId="5AEEC8B2" w:rsidR="00241E2C" w:rsidRPr="003F07F6" w:rsidRDefault="00241E2C" w:rsidP="002823D8">
      <w:pPr>
        <w:pStyle w:val="xmsonormal"/>
        <w:spacing w:after="160" w:line="252" w:lineRule="auto"/>
        <w:jc w:val="both"/>
        <w:rPr>
          <w:sz w:val="24"/>
          <w:szCs w:val="24"/>
          <w:lang w:val="es-CL"/>
        </w:rPr>
      </w:pPr>
      <w:r w:rsidRPr="003F07F6">
        <w:rPr>
          <w:sz w:val="24"/>
          <w:szCs w:val="24"/>
          <w:lang w:val="es-CL"/>
        </w:rPr>
        <w:t>Durante el año 2019 la CNE ejecutó el “Estudio de Determinación de precios máximos para licitaciones y subastas de Servicios Complementarios”, cuyo objetivo era establecer una metodología que permitiera fijar los valores máximos o los mecanismos de determinación de los valores máximos de las ofertas de las subastas y licitaciones de los SSCC, sus categorías y subcategorías según lo establecido en la Resolución SSCC de la CNE. Sobre la base de los resultados del citado estudio, la CNE emitió la Resolución Exenta que fijó y comunicó los mecanismos de determinación de los valores máximos para las ofertas de subasta de Servicios Complementarios de Control Secundario y Terciario de Frecuencia.</w:t>
      </w:r>
    </w:p>
    <w:p w14:paraId="00F0F225" w14:textId="77777777" w:rsidR="00241E2C" w:rsidRPr="003F07F6" w:rsidRDefault="00241E2C" w:rsidP="002823D8">
      <w:pPr>
        <w:pStyle w:val="xmsonormal"/>
        <w:spacing w:after="160" w:line="252" w:lineRule="auto"/>
        <w:jc w:val="both"/>
        <w:rPr>
          <w:sz w:val="24"/>
          <w:szCs w:val="24"/>
          <w:lang w:val="es-CL"/>
        </w:rPr>
      </w:pPr>
      <w:r w:rsidRPr="003F07F6">
        <w:rPr>
          <w:sz w:val="24"/>
          <w:szCs w:val="24"/>
          <w:lang w:val="es-CL"/>
        </w:rPr>
        <w:t>Un nuevo régimen de SSCC comenzó a operar a partir del 1° de enero de 2020, en donde el Coordinador estableció que la materialización de los servicios de control de frecuencia secundario y terciario fuese a través de subastas diarias. El resto de los SSCC se materializaría mediante instrucción directa. En dicho contexto, se llevó un monitoreo continuo del mercado de SSCC, de los precios adjudicados y la participación por empresa, entre otra información.</w:t>
      </w:r>
    </w:p>
    <w:p w14:paraId="13F5BA5D" w14:textId="3CC01CAC" w:rsidR="003F07F6" w:rsidRDefault="007260E5" w:rsidP="000A21DC">
      <w:pPr>
        <w:jc w:val="both"/>
        <w:rPr>
          <w:rFonts w:cstheme="minorHAnsi"/>
          <w:sz w:val="24"/>
          <w:szCs w:val="24"/>
        </w:rPr>
      </w:pPr>
      <w:r w:rsidRPr="003F07F6">
        <w:rPr>
          <w:rFonts w:cstheme="minorHAnsi"/>
          <w:sz w:val="24"/>
          <w:szCs w:val="24"/>
        </w:rPr>
        <w:lastRenderedPageBreak/>
        <w:t>Posteriormente, en noviembre de 2020, mediante Resolución Exenta, se modifica y reemplaza el Informe de Definición de Servicios Complementarios. Esta resolución establece la asimetría del Control Primario de Frecuencia y define las componentes que deberán ofertar las empresas participantes de las subastas y las que deberá calcular el Coordinador para su remuneración.</w:t>
      </w:r>
    </w:p>
    <w:p w14:paraId="63D84F99" w14:textId="41B332C6" w:rsidR="003F07F6" w:rsidRPr="000E4086" w:rsidRDefault="003F07F6" w:rsidP="003F07F6">
      <w:pPr>
        <w:spacing w:before="100" w:beforeAutospacing="1" w:after="100" w:afterAutospacing="1" w:line="240" w:lineRule="auto"/>
        <w:jc w:val="both"/>
        <w:rPr>
          <w:rFonts w:eastAsia="Times New Roman" w:cstheme="minorHAnsi"/>
          <w:b/>
          <w:bCs/>
          <w:sz w:val="24"/>
          <w:szCs w:val="24"/>
          <w:lang w:eastAsia="es-CL"/>
        </w:rPr>
      </w:pPr>
      <w:r w:rsidRPr="000E4086">
        <w:rPr>
          <w:rFonts w:eastAsia="Times New Roman" w:cstheme="minorHAnsi"/>
          <w:b/>
          <w:bCs/>
          <w:sz w:val="24"/>
          <w:szCs w:val="24"/>
          <w:lang w:eastAsia="es-CL"/>
        </w:rPr>
        <w:t>En el Ámbito de l</w:t>
      </w:r>
      <w:r>
        <w:rPr>
          <w:rFonts w:eastAsia="Times New Roman" w:cstheme="minorHAnsi"/>
          <w:b/>
          <w:bCs/>
          <w:sz w:val="24"/>
          <w:szCs w:val="24"/>
          <w:lang w:eastAsia="es-CL"/>
        </w:rPr>
        <w:t>os Mecanismos de Gestión</w:t>
      </w:r>
    </w:p>
    <w:p w14:paraId="4BEC941C" w14:textId="77777777" w:rsidR="003F07F6" w:rsidRPr="003F07F6" w:rsidRDefault="003F07F6" w:rsidP="003F07F6">
      <w:pPr>
        <w:jc w:val="both"/>
        <w:rPr>
          <w:rFonts w:cstheme="minorHAnsi"/>
          <w:sz w:val="24"/>
          <w:szCs w:val="24"/>
        </w:rPr>
      </w:pPr>
      <w:r w:rsidRPr="003F07F6">
        <w:rPr>
          <w:rFonts w:cstheme="minorHAnsi"/>
          <w:sz w:val="24"/>
          <w:szCs w:val="24"/>
        </w:rPr>
        <w:t>Durante el período 2018 – 2021 la Comisión Nacional de Energía obtuvo el 100% de los bonos asociados a los distintos mecanismos en los que le toca participar.</w:t>
      </w:r>
    </w:p>
    <w:p w14:paraId="4DFAC4FF" w14:textId="77777777" w:rsidR="003F07F6" w:rsidRPr="003F07F6" w:rsidRDefault="003F07F6" w:rsidP="003F07F6">
      <w:pPr>
        <w:jc w:val="both"/>
        <w:rPr>
          <w:sz w:val="24"/>
          <w:szCs w:val="24"/>
        </w:rPr>
      </w:pPr>
      <w:r w:rsidRPr="003F07F6">
        <w:rPr>
          <w:sz w:val="24"/>
          <w:szCs w:val="24"/>
        </w:rPr>
        <w:t>Esto es:</w:t>
      </w:r>
    </w:p>
    <w:p w14:paraId="286447C6" w14:textId="77777777" w:rsidR="003F07F6" w:rsidRPr="003F07F6" w:rsidRDefault="003F07F6" w:rsidP="003F07F6">
      <w:pPr>
        <w:pStyle w:val="Prrafodelista"/>
        <w:numPr>
          <w:ilvl w:val="0"/>
          <w:numId w:val="28"/>
        </w:numPr>
        <w:spacing w:line="259" w:lineRule="auto"/>
        <w:jc w:val="both"/>
        <w:rPr>
          <w:sz w:val="24"/>
          <w:szCs w:val="24"/>
        </w:rPr>
      </w:pPr>
      <w:r w:rsidRPr="003F07F6">
        <w:rPr>
          <w:sz w:val="24"/>
          <w:szCs w:val="24"/>
        </w:rPr>
        <w:t>Programa de Mejoramiento de la Gestión (PMG), suscrito con la Dirección de Presupuestos</w:t>
      </w:r>
    </w:p>
    <w:p w14:paraId="2A22484E" w14:textId="77777777" w:rsidR="003F07F6" w:rsidRPr="003F07F6" w:rsidRDefault="003F07F6" w:rsidP="003F07F6">
      <w:pPr>
        <w:pStyle w:val="Prrafodelista"/>
        <w:numPr>
          <w:ilvl w:val="0"/>
          <w:numId w:val="28"/>
        </w:numPr>
        <w:spacing w:line="259" w:lineRule="auto"/>
        <w:jc w:val="both"/>
        <w:rPr>
          <w:sz w:val="24"/>
          <w:szCs w:val="24"/>
        </w:rPr>
      </w:pPr>
      <w:r w:rsidRPr="003F07F6">
        <w:rPr>
          <w:sz w:val="24"/>
          <w:szCs w:val="24"/>
        </w:rPr>
        <w:t>Convenio de Desempeño Colectivo (CDC), suscrito con el Ministerio de Energía</w:t>
      </w:r>
    </w:p>
    <w:p w14:paraId="003C95DB" w14:textId="77777777" w:rsidR="003F07F6" w:rsidRPr="003F07F6" w:rsidRDefault="003F07F6" w:rsidP="003F07F6">
      <w:pPr>
        <w:pStyle w:val="Prrafodelista"/>
        <w:numPr>
          <w:ilvl w:val="0"/>
          <w:numId w:val="28"/>
        </w:numPr>
        <w:spacing w:line="259" w:lineRule="auto"/>
        <w:jc w:val="both"/>
        <w:rPr>
          <w:sz w:val="24"/>
          <w:szCs w:val="24"/>
        </w:rPr>
      </w:pPr>
      <w:r w:rsidRPr="003F07F6">
        <w:rPr>
          <w:sz w:val="24"/>
          <w:szCs w:val="24"/>
        </w:rPr>
        <w:t xml:space="preserve">Convenio Desempeño Alta Dirección Pública I Nivel, correspondiente al </w:t>
      </w:r>
      <w:proofErr w:type="gramStart"/>
      <w:r w:rsidRPr="003F07F6">
        <w:rPr>
          <w:sz w:val="24"/>
          <w:szCs w:val="24"/>
        </w:rPr>
        <w:t>Secretario Ejecutivo</w:t>
      </w:r>
      <w:proofErr w:type="gramEnd"/>
      <w:r w:rsidRPr="003F07F6">
        <w:rPr>
          <w:sz w:val="24"/>
          <w:szCs w:val="24"/>
        </w:rPr>
        <w:t xml:space="preserve"> de la Institución, suscrito con el Ministro de Energía</w:t>
      </w:r>
    </w:p>
    <w:p w14:paraId="2F4DAAE8" w14:textId="77777777" w:rsidR="003F07F6" w:rsidRPr="003F07F6" w:rsidRDefault="003F07F6" w:rsidP="003F07F6">
      <w:pPr>
        <w:pStyle w:val="Prrafodelista"/>
        <w:numPr>
          <w:ilvl w:val="0"/>
          <w:numId w:val="28"/>
        </w:numPr>
        <w:spacing w:line="259" w:lineRule="auto"/>
        <w:jc w:val="both"/>
        <w:rPr>
          <w:sz w:val="24"/>
          <w:szCs w:val="24"/>
        </w:rPr>
      </w:pPr>
      <w:r w:rsidRPr="003F07F6">
        <w:rPr>
          <w:sz w:val="24"/>
          <w:szCs w:val="24"/>
        </w:rPr>
        <w:t xml:space="preserve">Convenio Desempeño Alta Dirección Pública II Nivel, suscritos con el </w:t>
      </w:r>
      <w:proofErr w:type="gramStart"/>
      <w:r w:rsidRPr="003F07F6">
        <w:rPr>
          <w:sz w:val="24"/>
          <w:szCs w:val="24"/>
        </w:rPr>
        <w:t>Secretario Ejecutivo</w:t>
      </w:r>
      <w:proofErr w:type="gramEnd"/>
      <w:r w:rsidRPr="003F07F6">
        <w:rPr>
          <w:sz w:val="24"/>
          <w:szCs w:val="24"/>
        </w:rPr>
        <w:t>, correspondientes a:</w:t>
      </w:r>
    </w:p>
    <w:p w14:paraId="51A25089" w14:textId="77777777" w:rsidR="003F07F6" w:rsidRPr="003F07F6" w:rsidRDefault="003F07F6" w:rsidP="003F07F6">
      <w:pPr>
        <w:pStyle w:val="Prrafodelista"/>
        <w:numPr>
          <w:ilvl w:val="1"/>
          <w:numId w:val="28"/>
        </w:numPr>
        <w:spacing w:line="259" w:lineRule="auto"/>
        <w:jc w:val="both"/>
        <w:rPr>
          <w:sz w:val="24"/>
          <w:szCs w:val="24"/>
        </w:rPr>
      </w:pPr>
      <w:r w:rsidRPr="003F07F6">
        <w:rPr>
          <w:sz w:val="24"/>
          <w:szCs w:val="24"/>
        </w:rPr>
        <w:t>Jefe Departamento Eléctrico</w:t>
      </w:r>
    </w:p>
    <w:p w14:paraId="5AF88038" w14:textId="77777777" w:rsidR="003F07F6" w:rsidRPr="003F07F6" w:rsidRDefault="003F07F6" w:rsidP="003F07F6">
      <w:pPr>
        <w:pStyle w:val="Prrafodelista"/>
        <w:numPr>
          <w:ilvl w:val="1"/>
          <w:numId w:val="28"/>
        </w:numPr>
        <w:spacing w:line="259" w:lineRule="auto"/>
        <w:jc w:val="both"/>
        <w:rPr>
          <w:sz w:val="24"/>
          <w:szCs w:val="24"/>
        </w:rPr>
      </w:pPr>
      <w:r w:rsidRPr="003F07F6">
        <w:rPr>
          <w:sz w:val="24"/>
          <w:szCs w:val="24"/>
        </w:rPr>
        <w:t>Jefe Departamento Hidrocarburos</w:t>
      </w:r>
    </w:p>
    <w:p w14:paraId="0A5BC621" w14:textId="77777777" w:rsidR="003F07F6" w:rsidRPr="003F07F6" w:rsidRDefault="003F07F6" w:rsidP="003F07F6">
      <w:pPr>
        <w:pStyle w:val="Prrafodelista"/>
        <w:numPr>
          <w:ilvl w:val="1"/>
          <w:numId w:val="28"/>
        </w:numPr>
        <w:spacing w:line="259" w:lineRule="auto"/>
        <w:jc w:val="both"/>
        <w:rPr>
          <w:sz w:val="24"/>
          <w:szCs w:val="24"/>
        </w:rPr>
      </w:pPr>
      <w:r w:rsidRPr="003F07F6">
        <w:rPr>
          <w:sz w:val="24"/>
          <w:szCs w:val="24"/>
        </w:rPr>
        <w:t>Jefe Departamento Jurídico</w:t>
      </w:r>
    </w:p>
    <w:p w14:paraId="27CF1661" w14:textId="77777777" w:rsidR="003F07F6" w:rsidRDefault="003F07F6" w:rsidP="003F07F6">
      <w:pPr>
        <w:jc w:val="both"/>
        <w:rPr>
          <w:sz w:val="24"/>
          <w:szCs w:val="24"/>
        </w:rPr>
      </w:pPr>
    </w:p>
    <w:p w14:paraId="7DCC9509" w14:textId="3E38E5A7" w:rsidR="003F07F6" w:rsidRDefault="003F07F6" w:rsidP="003F07F6">
      <w:pPr>
        <w:jc w:val="both"/>
        <w:rPr>
          <w:sz w:val="24"/>
          <w:szCs w:val="24"/>
        </w:rPr>
      </w:pPr>
      <w:r w:rsidRPr="003F07F6">
        <w:rPr>
          <w:sz w:val="24"/>
          <w:szCs w:val="24"/>
        </w:rPr>
        <w:t>La cantidad de indicadores por instrumento y año se presenta a continuación.</w:t>
      </w:r>
    </w:p>
    <w:tbl>
      <w:tblPr>
        <w:tblStyle w:val="Tablaconcuadrcula"/>
        <w:tblW w:w="0" w:type="auto"/>
        <w:tblLook w:val="04A0" w:firstRow="1" w:lastRow="0" w:firstColumn="1" w:lastColumn="0" w:noHBand="0" w:noVBand="1"/>
      </w:tblPr>
      <w:tblGrid>
        <w:gridCol w:w="4957"/>
        <w:gridCol w:w="992"/>
        <w:gridCol w:w="992"/>
        <w:gridCol w:w="992"/>
        <w:gridCol w:w="895"/>
      </w:tblGrid>
      <w:tr w:rsidR="003F07F6" w14:paraId="3CC5D08F" w14:textId="77777777" w:rsidTr="00D7275E">
        <w:trPr>
          <w:trHeight w:val="443"/>
        </w:trPr>
        <w:tc>
          <w:tcPr>
            <w:tcW w:w="4957" w:type="dxa"/>
            <w:vAlign w:val="center"/>
          </w:tcPr>
          <w:p w14:paraId="2C7E6B30" w14:textId="77777777" w:rsidR="003F07F6" w:rsidRPr="00C41B93" w:rsidRDefault="003F07F6" w:rsidP="00D7275E">
            <w:pPr>
              <w:jc w:val="both"/>
              <w:rPr>
                <w:b/>
                <w:bCs/>
              </w:rPr>
            </w:pPr>
            <w:r w:rsidRPr="00C41B93">
              <w:rPr>
                <w:b/>
                <w:bCs/>
              </w:rPr>
              <w:t>Instrumento</w:t>
            </w:r>
            <w:r>
              <w:rPr>
                <w:b/>
                <w:bCs/>
              </w:rPr>
              <w:t>/ Año</w:t>
            </w:r>
          </w:p>
        </w:tc>
        <w:tc>
          <w:tcPr>
            <w:tcW w:w="992" w:type="dxa"/>
            <w:vAlign w:val="center"/>
          </w:tcPr>
          <w:p w14:paraId="08E2E017" w14:textId="77777777" w:rsidR="003F07F6" w:rsidRPr="00C41B93" w:rsidRDefault="003F07F6" w:rsidP="00D7275E">
            <w:pPr>
              <w:jc w:val="center"/>
              <w:rPr>
                <w:b/>
                <w:bCs/>
              </w:rPr>
            </w:pPr>
            <w:r w:rsidRPr="00C41B93">
              <w:rPr>
                <w:b/>
                <w:bCs/>
              </w:rPr>
              <w:t>2018</w:t>
            </w:r>
          </w:p>
        </w:tc>
        <w:tc>
          <w:tcPr>
            <w:tcW w:w="992" w:type="dxa"/>
            <w:vAlign w:val="center"/>
          </w:tcPr>
          <w:p w14:paraId="02BB890F" w14:textId="77777777" w:rsidR="003F07F6" w:rsidRPr="00C41B93" w:rsidRDefault="003F07F6" w:rsidP="00D7275E">
            <w:pPr>
              <w:jc w:val="center"/>
              <w:rPr>
                <w:b/>
                <w:bCs/>
              </w:rPr>
            </w:pPr>
            <w:r w:rsidRPr="00C41B93">
              <w:rPr>
                <w:b/>
                <w:bCs/>
              </w:rPr>
              <w:t>2019</w:t>
            </w:r>
          </w:p>
        </w:tc>
        <w:tc>
          <w:tcPr>
            <w:tcW w:w="992" w:type="dxa"/>
            <w:vAlign w:val="center"/>
          </w:tcPr>
          <w:p w14:paraId="6F85A87D" w14:textId="77777777" w:rsidR="003F07F6" w:rsidRPr="00C41B93" w:rsidRDefault="003F07F6" w:rsidP="00D7275E">
            <w:pPr>
              <w:jc w:val="center"/>
              <w:rPr>
                <w:b/>
                <w:bCs/>
              </w:rPr>
            </w:pPr>
            <w:r w:rsidRPr="00C41B93">
              <w:rPr>
                <w:b/>
                <w:bCs/>
              </w:rPr>
              <w:t>2020</w:t>
            </w:r>
          </w:p>
        </w:tc>
        <w:tc>
          <w:tcPr>
            <w:tcW w:w="895" w:type="dxa"/>
            <w:vAlign w:val="center"/>
          </w:tcPr>
          <w:p w14:paraId="759DAB69" w14:textId="77777777" w:rsidR="003F07F6" w:rsidRPr="00C41B93" w:rsidRDefault="003F07F6" w:rsidP="00D7275E">
            <w:pPr>
              <w:jc w:val="center"/>
              <w:rPr>
                <w:b/>
                <w:bCs/>
              </w:rPr>
            </w:pPr>
            <w:r w:rsidRPr="00C41B93">
              <w:rPr>
                <w:b/>
                <w:bCs/>
              </w:rPr>
              <w:t>2021</w:t>
            </w:r>
          </w:p>
        </w:tc>
      </w:tr>
      <w:tr w:rsidR="003F07F6" w14:paraId="399B5A7E" w14:textId="77777777" w:rsidTr="00D7275E">
        <w:tc>
          <w:tcPr>
            <w:tcW w:w="4957" w:type="dxa"/>
          </w:tcPr>
          <w:p w14:paraId="0BDEC9B5" w14:textId="77777777" w:rsidR="003F07F6" w:rsidRPr="00C41B93" w:rsidRDefault="003F07F6" w:rsidP="00D7275E">
            <w:pPr>
              <w:jc w:val="both"/>
              <w:rPr>
                <w:sz w:val="20"/>
                <w:szCs w:val="20"/>
              </w:rPr>
            </w:pPr>
            <w:r w:rsidRPr="00C41B93">
              <w:rPr>
                <w:sz w:val="20"/>
                <w:szCs w:val="20"/>
              </w:rPr>
              <w:t>Programa de Mejoramiento de la Gestión (PMG) - Indicadores de desempeño de los productos estratégicos (bienes y/o servicios)</w:t>
            </w:r>
          </w:p>
        </w:tc>
        <w:tc>
          <w:tcPr>
            <w:tcW w:w="992" w:type="dxa"/>
            <w:vAlign w:val="center"/>
          </w:tcPr>
          <w:p w14:paraId="7CECCA5D" w14:textId="77777777" w:rsidR="003F07F6" w:rsidRPr="00C41B93" w:rsidRDefault="003F07F6" w:rsidP="00D7275E">
            <w:pPr>
              <w:jc w:val="center"/>
              <w:rPr>
                <w:sz w:val="20"/>
                <w:szCs w:val="20"/>
              </w:rPr>
            </w:pPr>
            <w:r w:rsidRPr="00C41B93">
              <w:rPr>
                <w:sz w:val="20"/>
                <w:szCs w:val="20"/>
              </w:rPr>
              <w:t>6</w:t>
            </w:r>
          </w:p>
        </w:tc>
        <w:tc>
          <w:tcPr>
            <w:tcW w:w="992" w:type="dxa"/>
            <w:vAlign w:val="center"/>
          </w:tcPr>
          <w:p w14:paraId="231C5908" w14:textId="77777777" w:rsidR="003F07F6" w:rsidRPr="00C41B93" w:rsidRDefault="003F07F6" w:rsidP="00D7275E">
            <w:pPr>
              <w:jc w:val="center"/>
              <w:rPr>
                <w:sz w:val="20"/>
                <w:szCs w:val="20"/>
              </w:rPr>
            </w:pPr>
            <w:r w:rsidRPr="00C41B93">
              <w:rPr>
                <w:sz w:val="20"/>
                <w:szCs w:val="20"/>
              </w:rPr>
              <w:t>6</w:t>
            </w:r>
          </w:p>
        </w:tc>
        <w:tc>
          <w:tcPr>
            <w:tcW w:w="992" w:type="dxa"/>
            <w:vAlign w:val="center"/>
          </w:tcPr>
          <w:p w14:paraId="11905C81" w14:textId="77777777" w:rsidR="003F07F6" w:rsidRPr="00C41B93" w:rsidRDefault="003F07F6" w:rsidP="00D7275E">
            <w:pPr>
              <w:jc w:val="center"/>
              <w:rPr>
                <w:sz w:val="20"/>
                <w:szCs w:val="20"/>
              </w:rPr>
            </w:pPr>
            <w:r w:rsidRPr="00C41B93">
              <w:rPr>
                <w:sz w:val="20"/>
                <w:szCs w:val="20"/>
              </w:rPr>
              <w:t>6</w:t>
            </w:r>
          </w:p>
        </w:tc>
        <w:tc>
          <w:tcPr>
            <w:tcW w:w="895" w:type="dxa"/>
            <w:vAlign w:val="center"/>
          </w:tcPr>
          <w:p w14:paraId="6A39771C" w14:textId="77777777" w:rsidR="003F07F6" w:rsidRPr="00C41B93" w:rsidRDefault="003F07F6" w:rsidP="00D7275E">
            <w:pPr>
              <w:jc w:val="center"/>
              <w:rPr>
                <w:sz w:val="20"/>
                <w:szCs w:val="20"/>
              </w:rPr>
            </w:pPr>
            <w:r w:rsidRPr="00C41B93">
              <w:rPr>
                <w:sz w:val="20"/>
                <w:szCs w:val="20"/>
              </w:rPr>
              <w:t>5</w:t>
            </w:r>
          </w:p>
        </w:tc>
      </w:tr>
      <w:tr w:rsidR="003F07F6" w14:paraId="3F518FB3" w14:textId="77777777" w:rsidTr="00D7275E">
        <w:tc>
          <w:tcPr>
            <w:tcW w:w="4957" w:type="dxa"/>
          </w:tcPr>
          <w:p w14:paraId="17EB6E24" w14:textId="77777777" w:rsidR="003F07F6" w:rsidRPr="00C41B93" w:rsidRDefault="003F07F6" w:rsidP="00D7275E">
            <w:pPr>
              <w:jc w:val="both"/>
              <w:rPr>
                <w:sz w:val="20"/>
                <w:szCs w:val="20"/>
              </w:rPr>
            </w:pPr>
            <w:r w:rsidRPr="00C41B93">
              <w:rPr>
                <w:sz w:val="20"/>
                <w:szCs w:val="20"/>
              </w:rPr>
              <w:t>Programa de Mejoramiento de la Gestión (PMG) - Indicadores de desempeño transversales</w:t>
            </w:r>
          </w:p>
        </w:tc>
        <w:tc>
          <w:tcPr>
            <w:tcW w:w="992" w:type="dxa"/>
            <w:vAlign w:val="center"/>
          </w:tcPr>
          <w:p w14:paraId="3DED10CD" w14:textId="77777777" w:rsidR="003F07F6" w:rsidRPr="00C41B93" w:rsidRDefault="003F07F6" w:rsidP="00D7275E">
            <w:pPr>
              <w:jc w:val="center"/>
              <w:rPr>
                <w:sz w:val="20"/>
                <w:szCs w:val="20"/>
              </w:rPr>
            </w:pPr>
            <w:r w:rsidRPr="00C41B93">
              <w:rPr>
                <w:sz w:val="20"/>
                <w:szCs w:val="20"/>
              </w:rPr>
              <w:t>4</w:t>
            </w:r>
          </w:p>
        </w:tc>
        <w:tc>
          <w:tcPr>
            <w:tcW w:w="992" w:type="dxa"/>
            <w:vAlign w:val="center"/>
          </w:tcPr>
          <w:p w14:paraId="4AAA6B61" w14:textId="77777777" w:rsidR="003F07F6" w:rsidRPr="00C41B93" w:rsidRDefault="003F07F6" w:rsidP="00D7275E">
            <w:pPr>
              <w:jc w:val="center"/>
              <w:rPr>
                <w:sz w:val="20"/>
                <w:szCs w:val="20"/>
              </w:rPr>
            </w:pPr>
            <w:r w:rsidRPr="00C41B93">
              <w:rPr>
                <w:sz w:val="20"/>
                <w:szCs w:val="20"/>
              </w:rPr>
              <w:t>4</w:t>
            </w:r>
          </w:p>
        </w:tc>
        <w:tc>
          <w:tcPr>
            <w:tcW w:w="992" w:type="dxa"/>
            <w:vAlign w:val="center"/>
          </w:tcPr>
          <w:p w14:paraId="06E63917" w14:textId="77777777" w:rsidR="003F07F6" w:rsidRPr="00C41B93" w:rsidRDefault="003F07F6" w:rsidP="00D7275E">
            <w:pPr>
              <w:jc w:val="center"/>
              <w:rPr>
                <w:sz w:val="20"/>
                <w:szCs w:val="20"/>
              </w:rPr>
            </w:pPr>
            <w:r w:rsidRPr="00C41B93">
              <w:rPr>
                <w:sz w:val="20"/>
                <w:szCs w:val="20"/>
              </w:rPr>
              <w:t>5</w:t>
            </w:r>
          </w:p>
        </w:tc>
        <w:tc>
          <w:tcPr>
            <w:tcW w:w="895" w:type="dxa"/>
            <w:vAlign w:val="center"/>
          </w:tcPr>
          <w:p w14:paraId="4928DA75" w14:textId="77777777" w:rsidR="003F07F6" w:rsidRPr="00C41B93" w:rsidRDefault="003F07F6" w:rsidP="00D7275E">
            <w:pPr>
              <w:jc w:val="center"/>
              <w:rPr>
                <w:sz w:val="20"/>
                <w:szCs w:val="20"/>
              </w:rPr>
            </w:pPr>
            <w:r w:rsidRPr="00C41B93">
              <w:rPr>
                <w:sz w:val="20"/>
                <w:szCs w:val="20"/>
              </w:rPr>
              <w:t>5</w:t>
            </w:r>
          </w:p>
        </w:tc>
      </w:tr>
      <w:tr w:rsidR="003F07F6" w14:paraId="62904F0B" w14:textId="77777777" w:rsidTr="00D7275E">
        <w:tc>
          <w:tcPr>
            <w:tcW w:w="4957" w:type="dxa"/>
          </w:tcPr>
          <w:p w14:paraId="37028DA9" w14:textId="77777777" w:rsidR="003F07F6" w:rsidRPr="00C41B93" w:rsidRDefault="003F07F6" w:rsidP="00D7275E">
            <w:pPr>
              <w:jc w:val="both"/>
              <w:rPr>
                <w:sz w:val="20"/>
                <w:szCs w:val="20"/>
              </w:rPr>
            </w:pPr>
            <w:r w:rsidRPr="00C41B93">
              <w:rPr>
                <w:sz w:val="20"/>
                <w:szCs w:val="20"/>
              </w:rPr>
              <w:t>Convenio de Desempeño Colectivo (CDC)</w:t>
            </w:r>
          </w:p>
        </w:tc>
        <w:tc>
          <w:tcPr>
            <w:tcW w:w="992" w:type="dxa"/>
            <w:vAlign w:val="center"/>
          </w:tcPr>
          <w:p w14:paraId="780158BE" w14:textId="77777777" w:rsidR="003F07F6" w:rsidRPr="00C41B93" w:rsidRDefault="003F07F6" w:rsidP="00D7275E">
            <w:pPr>
              <w:jc w:val="center"/>
              <w:rPr>
                <w:sz w:val="20"/>
                <w:szCs w:val="20"/>
              </w:rPr>
            </w:pPr>
            <w:r w:rsidRPr="00C41B93">
              <w:rPr>
                <w:sz w:val="20"/>
                <w:szCs w:val="20"/>
              </w:rPr>
              <w:t>21</w:t>
            </w:r>
          </w:p>
        </w:tc>
        <w:tc>
          <w:tcPr>
            <w:tcW w:w="992" w:type="dxa"/>
            <w:vAlign w:val="center"/>
          </w:tcPr>
          <w:p w14:paraId="66B674BF" w14:textId="77777777" w:rsidR="003F07F6" w:rsidRPr="00C41B93" w:rsidRDefault="003F07F6" w:rsidP="00D7275E">
            <w:pPr>
              <w:jc w:val="center"/>
              <w:rPr>
                <w:sz w:val="20"/>
                <w:szCs w:val="20"/>
              </w:rPr>
            </w:pPr>
            <w:r w:rsidRPr="00C41B93">
              <w:rPr>
                <w:sz w:val="20"/>
                <w:szCs w:val="20"/>
              </w:rPr>
              <w:t>28</w:t>
            </w:r>
          </w:p>
        </w:tc>
        <w:tc>
          <w:tcPr>
            <w:tcW w:w="992" w:type="dxa"/>
            <w:vAlign w:val="center"/>
          </w:tcPr>
          <w:p w14:paraId="00A9A9D1" w14:textId="77777777" w:rsidR="003F07F6" w:rsidRPr="00C41B93" w:rsidRDefault="003F07F6" w:rsidP="00D7275E">
            <w:pPr>
              <w:jc w:val="center"/>
              <w:rPr>
                <w:sz w:val="20"/>
                <w:szCs w:val="20"/>
              </w:rPr>
            </w:pPr>
            <w:r w:rsidRPr="00C41B93">
              <w:rPr>
                <w:sz w:val="20"/>
                <w:szCs w:val="20"/>
              </w:rPr>
              <w:t>32</w:t>
            </w:r>
          </w:p>
        </w:tc>
        <w:tc>
          <w:tcPr>
            <w:tcW w:w="895" w:type="dxa"/>
            <w:vAlign w:val="center"/>
          </w:tcPr>
          <w:p w14:paraId="07E47605" w14:textId="77777777" w:rsidR="003F07F6" w:rsidRPr="00C41B93" w:rsidRDefault="003F07F6" w:rsidP="00D7275E">
            <w:pPr>
              <w:jc w:val="center"/>
              <w:rPr>
                <w:sz w:val="20"/>
                <w:szCs w:val="20"/>
              </w:rPr>
            </w:pPr>
            <w:r w:rsidRPr="00C41B93">
              <w:rPr>
                <w:sz w:val="20"/>
                <w:szCs w:val="20"/>
              </w:rPr>
              <w:t>33</w:t>
            </w:r>
          </w:p>
        </w:tc>
      </w:tr>
      <w:tr w:rsidR="003F07F6" w14:paraId="75C78047" w14:textId="77777777" w:rsidTr="00D7275E">
        <w:tc>
          <w:tcPr>
            <w:tcW w:w="4957" w:type="dxa"/>
          </w:tcPr>
          <w:p w14:paraId="55354B4C" w14:textId="77777777" w:rsidR="003F07F6" w:rsidRPr="00C41B93" w:rsidRDefault="003F07F6" w:rsidP="00D7275E">
            <w:pPr>
              <w:jc w:val="both"/>
              <w:rPr>
                <w:sz w:val="20"/>
                <w:szCs w:val="20"/>
              </w:rPr>
            </w:pPr>
            <w:r w:rsidRPr="00C41B93">
              <w:rPr>
                <w:sz w:val="20"/>
                <w:szCs w:val="20"/>
              </w:rPr>
              <w:t xml:space="preserve">Convenio de Desempeño ADP I Nivel - </w:t>
            </w:r>
            <w:proofErr w:type="gramStart"/>
            <w:r w:rsidRPr="00C41B93">
              <w:rPr>
                <w:sz w:val="20"/>
                <w:szCs w:val="20"/>
              </w:rPr>
              <w:t>Secretario Ejecutivo</w:t>
            </w:r>
            <w:proofErr w:type="gramEnd"/>
          </w:p>
        </w:tc>
        <w:tc>
          <w:tcPr>
            <w:tcW w:w="992" w:type="dxa"/>
            <w:vAlign w:val="center"/>
          </w:tcPr>
          <w:p w14:paraId="78969326" w14:textId="77777777" w:rsidR="003F07F6" w:rsidRPr="00C41B93" w:rsidRDefault="003F07F6" w:rsidP="00D7275E">
            <w:pPr>
              <w:jc w:val="center"/>
              <w:rPr>
                <w:sz w:val="20"/>
                <w:szCs w:val="20"/>
              </w:rPr>
            </w:pPr>
            <w:r w:rsidRPr="00C41B93">
              <w:rPr>
                <w:sz w:val="20"/>
                <w:szCs w:val="20"/>
              </w:rPr>
              <w:t>8</w:t>
            </w:r>
          </w:p>
        </w:tc>
        <w:tc>
          <w:tcPr>
            <w:tcW w:w="992" w:type="dxa"/>
            <w:vAlign w:val="center"/>
          </w:tcPr>
          <w:p w14:paraId="43981243" w14:textId="77777777" w:rsidR="003F07F6" w:rsidRPr="00C41B93" w:rsidRDefault="003F07F6" w:rsidP="00D7275E">
            <w:pPr>
              <w:jc w:val="center"/>
              <w:rPr>
                <w:sz w:val="20"/>
                <w:szCs w:val="20"/>
              </w:rPr>
            </w:pPr>
            <w:r w:rsidRPr="00C41B93">
              <w:rPr>
                <w:sz w:val="20"/>
                <w:szCs w:val="20"/>
              </w:rPr>
              <w:t>8</w:t>
            </w:r>
          </w:p>
        </w:tc>
        <w:tc>
          <w:tcPr>
            <w:tcW w:w="992" w:type="dxa"/>
            <w:vAlign w:val="center"/>
          </w:tcPr>
          <w:p w14:paraId="3C017F1D" w14:textId="77777777" w:rsidR="003F07F6" w:rsidRPr="00C41B93" w:rsidRDefault="003F07F6" w:rsidP="00D7275E">
            <w:pPr>
              <w:jc w:val="center"/>
              <w:rPr>
                <w:sz w:val="20"/>
                <w:szCs w:val="20"/>
              </w:rPr>
            </w:pPr>
            <w:r w:rsidRPr="00C41B93">
              <w:rPr>
                <w:sz w:val="20"/>
                <w:szCs w:val="20"/>
              </w:rPr>
              <w:t>7</w:t>
            </w:r>
          </w:p>
        </w:tc>
        <w:tc>
          <w:tcPr>
            <w:tcW w:w="895" w:type="dxa"/>
            <w:vAlign w:val="center"/>
          </w:tcPr>
          <w:p w14:paraId="20764F28" w14:textId="77777777" w:rsidR="003F07F6" w:rsidRPr="00C41B93" w:rsidRDefault="003F07F6" w:rsidP="00D7275E">
            <w:pPr>
              <w:jc w:val="center"/>
              <w:rPr>
                <w:sz w:val="20"/>
                <w:szCs w:val="20"/>
              </w:rPr>
            </w:pPr>
            <w:r w:rsidRPr="00C41B93">
              <w:rPr>
                <w:sz w:val="20"/>
                <w:szCs w:val="20"/>
              </w:rPr>
              <w:t>9</w:t>
            </w:r>
          </w:p>
        </w:tc>
      </w:tr>
      <w:tr w:rsidR="003F07F6" w14:paraId="3745756A" w14:textId="77777777" w:rsidTr="00D7275E">
        <w:tc>
          <w:tcPr>
            <w:tcW w:w="4957" w:type="dxa"/>
          </w:tcPr>
          <w:p w14:paraId="01912054" w14:textId="77777777" w:rsidR="003F07F6" w:rsidRPr="00C41B93" w:rsidRDefault="003F07F6" w:rsidP="00D7275E">
            <w:pPr>
              <w:jc w:val="both"/>
              <w:rPr>
                <w:sz w:val="20"/>
                <w:szCs w:val="20"/>
              </w:rPr>
            </w:pPr>
            <w:r w:rsidRPr="00C41B93">
              <w:rPr>
                <w:sz w:val="20"/>
                <w:szCs w:val="20"/>
              </w:rPr>
              <w:t xml:space="preserve">Convenio de Desempeño ADP II Nivel - </w:t>
            </w:r>
            <w:proofErr w:type="gramStart"/>
            <w:r w:rsidRPr="00C41B93">
              <w:rPr>
                <w:sz w:val="20"/>
                <w:szCs w:val="20"/>
              </w:rPr>
              <w:t>Jefe</w:t>
            </w:r>
            <w:proofErr w:type="gramEnd"/>
            <w:r w:rsidRPr="00C41B93">
              <w:rPr>
                <w:sz w:val="20"/>
                <w:szCs w:val="20"/>
              </w:rPr>
              <w:t xml:space="preserve"> Depto. Hidrocarburos</w:t>
            </w:r>
          </w:p>
        </w:tc>
        <w:tc>
          <w:tcPr>
            <w:tcW w:w="992" w:type="dxa"/>
            <w:vAlign w:val="center"/>
          </w:tcPr>
          <w:p w14:paraId="3791E5CC" w14:textId="77777777" w:rsidR="003F07F6" w:rsidRPr="00C41B93" w:rsidRDefault="003F07F6" w:rsidP="00D7275E">
            <w:pPr>
              <w:jc w:val="center"/>
              <w:rPr>
                <w:sz w:val="20"/>
                <w:szCs w:val="20"/>
              </w:rPr>
            </w:pPr>
            <w:r>
              <w:rPr>
                <w:sz w:val="20"/>
                <w:szCs w:val="20"/>
              </w:rPr>
              <w:t>4</w:t>
            </w:r>
          </w:p>
        </w:tc>
        <w:tc>
          <w:tcPr>
            <w:tcW w:w="992" w:type="dxa"/>
            <w:vAlign w:val="center"/>
          </w:tcPr>
          <w:p w14:paraId="73298E30" w14:textId="77777777" w:rsidR="003F07F6" w:rsidRPr="00C41B93" w:rsidRDefault="003F07F6" w:rsidP="00D7275E">
            <w:pPr>
              <w:jc w:val="center"/>
              <w:rPr>
                <w:sz w:val="20"/>
                <w:szCs w:val="20"/>
              </w:rPr>
            </w:pPr>
            <w:r>
              <w:rPr>
                <w:sz w:val="20"/>
                <w:szCs w:val="20"/>
              </w:rPr>
              <w:t>4</w:t>
            </w:r>
          </w:p>
        </w:tc>
        <w:tc>
          <w:tcPr>
            <w:tcW w:w="992" w:type="dxa"/>
            <w:vAlign w:val="center"/>
          </w:tcPr>
          <w:p w14:paraId="1C40ACE5" w14:textId="77777777" w:rsidR="003F07F6" w:rsidRPr="00C41B93" w:rsidRDefault="003F07F6" w:rsidP="00D7275E">
            <w:pPr>
              <w:jc w:val="center"/>
              <w:rPr>
                <w:sz w:val="20"/>
                <w:szCs w:val="20"/>
              </w:rPr>
            </w:pPr>
            <w:r>
              <w:rPr>
                <w:sz w:val="20"/>
                <w:szCs w:val="20"/>
              </w:rPr>
              <w:t>5</w:t>
            </w:r>
          </w:p>
        </w:tc>
        <w:tc>
          <w:tcPr>
            <w:tcW w:w="895" w:type="dxa"/>
            <w:vAlign w:val="center"/>
          </w:tcPr>
          <w:p w14:paraId="78357E91" w14:textId="77777777" w:rsidR="003F07F6" w:rsidRPr="00C41B93" w:rsidRDefault="003F07F6" w:rsidP="00D7275E">
            <w:pPr>
              <w:jc w:val="center"/>
              <w:rPr>
                <w:sz w:val="20"/>
                <w:szCs w:val="20"/>
              </w:rPr>
            </w:pPr>
            <w:r>
              <w:rPr>
                <w:sz w:val="20"/>
                <w:szCs w:val="20"/>
              </w:rPr>
              <w:t>5</w:t>
            </w:r>
          </w:p>
        </w:tc>
      </w:tr>
      <w:tr w:rsidR="003F07F6" w14:paraId="5336BCE1" w14:textId="77777777" w:rsidTr="00D7275E">
        <w:tc>
          <w:tcPr>
            <w:tcW w:w="4957" w:type="dxa"/>
          </w:tcPr>
          <w:p w14:paraId="7EB63D58" w14:textId="77777777" w:rsidR="003F07F6" w:rsidRPr="00C41B93" w:rsidRDefault="003F07F6" w:rsidP="00D7275E">
            <w:pPr>
              <w:jc w:val="both"/>
              <w:rPr>
                <w:sz w:val="20"/>
                <w:szCs w:val="20"/>
              </w:rPr>
            </w:pPr>
            <w:r w:rsidRPr="00C41B93">
              <w:rPr>
                <w:sz w:val="20"/>
                <w:szCs w:val="20"/>
              </w:rPr>
              <w:t xml:space="preserve">Convenio de Desempeño ADP II Nivel - </w:t>
            </w:r>
            <w:proofErr w:type="gramStart"/>
            <w:r w:rsidRPr="00C41B93">
              <w:rPr>
                <w:sz w:val="20"/>
                <w:szCs w:val="20"/>
              </w:rPr>
              <w:t>Jefe</w:t>
            </w:r>
            <w:proofErr w:type="gramEnd"/>
            <w:r w:rsidRPr="00C41B93">
              <w:rPr>
                <w:sz w:val="20"/>
                <w:szCs w:val="20"/>
              </w:rPr>
              <w:t xml:space="preserve"> Depto. Eléctrico</w:t>
            </w:r>
          </w:p>
        </w:tc>
        <w:tc>
          <w:tcPr>
            <w:tcW w:w="992" w:type="dxa"/>
            <w:vAlign w:val="center"/>
          </w:tcPr>
          <w:p w14:paraId="305C5101" w14:textId="77777777" w:rsidR="003F07F6" w:rsidRPr="00C41B93" w:rsidRDefault="003F07F6" w:rsidP="00D7275E">
            <w:pPr>
              <w:jc w:val="center"/>
              <w:rPr>
                <w:sz w:val="20"/>
                <w:szCs w:val="20"/>
              </w:rPr>
            </w:pPr>
            <w:r>
              <w:rPr>
                <w:sz w:val="20"/>
                <w:szCs w:val="20"/>
              </w:rPr>
              <w:t>-</w:t>
            </w:r>
          </w:p>
        </w:tc>
        <w:tc>
          <w:tcPr>
            <w:tcW w:w="992" w:type="dxa"/>
            <w:vAlign w:val="center"/>
          </w:tcPr>
          <w:p w14:paraId="609C6CE7" w14:textId="77777777" w:rsidR="003F07F6" w:rsidRPr="00C41B93" w:rsidRDefault="003F07F6" w:rsidP="00D7275E">
            <w:pPr>
              <w:jc w:val="center"/>
              <w:rPr>
                <w:sz w:val="20"/>
                <w:szCs w:val="20"/>
              </w:rPr>
            </w:pPr>
            <w:r>
              <w:rPr>
                <w:sz w:val="20"/>
                <w:szCs w:val="20"/>
              </w:rPr>
              <w:t>-</w:t>
            </w:r>
          </w:p>
        </w:tc>
        <w:tc>
          <w:tcPr>
            <w:tcW w:w="992" w:type="dxa"/>
            <w:vAlign w:val="center"/>
          </w:tcPr>
          <w:p w14:paraId="6C0AB614" w14:textId="77777777" w:rsidR="003F07F6" w:rsidRPr="00C41B93" w:rsidRDefault="003F07F6" w:rsidP="00D7275E">
            <w:pPr>
              <w:jc w:val="center"/>
              <w:rPr>
                <w:sz w:val="20"/>
                <w:szCs w:val="20"/>
              </w:rPr>
            </w:pPr>
            <w:r>
              <w:rPr>
                <w:sz w:val="20"/>
                <w:szCs w:val="20"/>
              </w:rPr>
              <w:t>5</w:t>
            </w:r>
          </w:p>
        </w:tc>
        <w:tc>
          <w:tcPr>
            <w:tcW w:w="895" w:type="dxa"/>
            <w:vAlign w:val="center"/>
          </w:tcPr>
          <w:p w14:paraId="71F80723" w14:textId="77777777" w:rsidR="003F07F6" w:rsidRPr="00C41B93" w:rsidRDefault="003F07F6" w:rsidP="00D7275E">
            <w:pPr>
              <w:jc w:val="center"/>
              <w:rPr>
                <w:sz w:val="20"/>
                <w:szCs w:val="20"/>
              </w:rPr>
            </w:pPr>
            <w:r>
              <w:rPr>
                <w:sz w:val="20"/>
                <w:szCs w:val="20"/>
              </w:rPr>
              <w:t>5</w:t>
            </w:r>
          </w:p>
        </w:tc>
      </w:tr>
      <w:tr w:rsidR="003F07F6" w14:paraId="1B9E583A" w14:textId="77777777" w:rsidTr="00D7275E">
        <w:tc>
          <w:tcPr>
            <w:tcW w:w="4957" w:type="dxa"/>
          </w:tcPr>
          <w:p w14:paraId="75F8E49E" w14:textId="77777777" w:rsidR="003F07F6" w:rsidRPr="00C41B93" w:rsidRDefault="003F07F6" w:rsidP="00D7275E">
            <w:pPr>
              <w:jc w:val="both"/>
              <w:rPr>
                <w:sz w:val="20"/>
                <w:szCs w:val="20"/>
              </w:rPr>
            </w:pPr>
            <w:r w:rsidRPr="00C41B93">
              <w:rPr>
                <w:sz w:val="20"/>
                <w:szCs w:val="20"/>
              </w:rPr>
              <w:t xml:space="preserve">Convenio de Desempeño ADP II Nivel - </w:t>
            </w:r>
            <w:proofErr w:type="gramStart"/>
            <w:r w:rsidRPr="00C41B93">
              <w:rPr>
                <w:sz w:val="20"/>
                <w:szCs w:val="20"/>
              </w:rPr>
              <w:t>Jefe</w:t>
            </w:r>
            <w:proofErr w:type="gramEnd"/>
            <w:r w:rsidRPr="00C41B93">
              <w:rPr>
                <w:sz w:val="20"/>
                <w:szCs w:val="20"/>
              </w:rPr>
              <w:t xml:space="preserve"> Depto. Jurídico</w:t>
            </w:r>
          </w:p>
        </w:tc>
        <w:tc>
          <w:tcPr>
            <w:tcW w:w="992" w:type="dxa"/>
            <w:vAlign w:val="center"/>
          </w:tcPr>
          <w:p w14:paraId="68677C47" w14:textId="77777777" w:rsidR="003F07F6" w:rsidRPr="00C41B93" w:rsidRDefault="003F07F6" w:rsidP="00D7275E">
            <w:pPr>
              <w:jc w:val="center"/>
              <w:rPr>
                <w:sz w:val="20"/>
                <w:szCs w:val="20"/>
              </w:rPr>
            </w:pPr>
            <w:r>
              <w:rPr>
                <w:sz w:val="20"/>
                <w:szCs w:val="20"/>
              </w:rPr>
              <w:t>6</w:t>
            </w:r>
          </w:p>
        </w:tc>
        <w:tc>
          <w:tcPr>
            <w:tcW w:w="992" w:type="dxa"/>
            <w:vAlign w:val="center"/>
          </w:tcPr>
          <w:p w14:paraId="6517ABCC" w14:textId="77777777" w:rsidR="003F07F6" w:rsidRPr="00C41B93" w:rsidRDefault="003F07F6" w:rsidP="00D7275E">
            <w:pPr>
              <w:jc w:val="center"/>
              <w:rPr>
                <w:sz w:val="20"/>
                <w:szCs w:val="20"/>
              </w:rPr>
            </w:pPr>
            <w:r>
              <w:rPr>
                <w:sz w:val="20"/>
                <w:szCs w:val="20"/>
              </w:rPr>
              <w:t>-</w:t>
            </w:r>
          </w:p>
        </w:tc>
        <w:tc>
          <w:tcPr>
            <w:tcW w:w="992" w:type="dxa"/>
            <w:vAlign w:val="center"/>
          </w:tcPr>
          <w:p w14:paraId="5826A28D" w14:textId="77777777" w:rsidR="003F07F6" w:rsidRPr="00C41B93" w:rsidRDefault="003F07F6" w:rsidP="00D7275E">
            <w:pPr>
              <w:jc w:val="center"/>
              <w:rPr>
                <w:sz w:val="20"/>
                <w:szCs w:val="20"/>
              </w:rPr>
            </w:pPr>
            <w:r>
              <w:rPr>
                <w:sz w:val="20"/>
                <w:szCs w:val="20"/>
              </w:rPr>
              <w:t>7</w:t>
            </w:r>
          </w:p>
        </w:tc>
        <w:tc>
          <w:tcPr>
            <w:tcW w:w="895" w:type="dxa"/>
            <w:vAlign w:val="center"/>
          </w:tcPr>
          <w:p w14:paraId="5D36D536" w14:textId="77777777" w:rsidR="003F07F6" w:rsidRPr="00C41B93" w:rsidRDefault="003F07F6" w:rsidP="00D7275E">
            <w:pPr>
              <w:jc w:val="center"/>
              <w:rPr>
                <w:sz w:val="20"/>
                <w:szCs w:val="20"/>
              </w:rPr>
            </w:pPr>
            <w:r>
              <w:rPr>
                <w:sz w:val="20"/>
                <w:szCs w:val="20"/>
              </w:rPr>
              <w:t>7</w:t>
            </w:r>
          </w:p>
        </w:tc>
      </w:tr>
      <w:tr w:rsidR="003F07F6" w14:paraId="194EFD08" w14:textId="77777777" w:rsidTr="00D7275E">
        <w:trPr>
          <w:trHeight w:val="388"/>
        </w:trPr>
        <w:tc>
          <w:tcPr>
            <w:tcW w:w="4957" w:type="dxa"/>
            <w:vAlign w:val="center"/>
          </w:tcPr>
          <w:p w14:paraId="24AB7A38" w14:textId="77777777" w:rsidR="003F07F6" w:rsidRPr="00C41B93" w:rsidRDefault="003F07F6" w:rsidP="00D7275E">
            <w:pPr>
              <w:jc w:val="both"/>
              <w:rPr>
                <w:b/>
                <w:bCs/>
                <w:sz w:val="20"/>
                <w:szCs w:val="20"/>
              </w:rPr>
            </w:pPr>
            <w:r w:rsidRPr="00C41B93">
              <w:rPr>
                <w:b/>
                <w:bCs/>
                <w:sz w:val="20"/>
                <w:szCs w:val="20"/>
              </w:rPr>
              <w:t>TOTAL</w:t>
            </w:r>
          </w:p>
        </w:tc>
        <w:tc>
          <w:tcPr>
            <w:tcW w:w="992" w:type="dxa"/>
            <w:vAlign w:val="center"/>
          </w:tcPr>
          <w:p w14:paraId="617C8551" w14:textId="77777777" w:rsidR="003F07F6" w:rsidRPr="00C41B93" w:rsidRDefault="003F07F6" w:rsidP="00D7275E">
            <w:pPr>
              <w:jc w:val="center"/>
              <w:rPr>
                <w:b/>
                <w:bCs/>
                <w:sz w:val="20"/>
                <w:szCs w:val="20"/>
              </w:rPr>
            </w:pPr>
            <w:r w:rsidRPr="00C41B93">
              <w:rPr>
                <w:b/>
                <w:bCs/>
                <w:sz w:val="20"/>
                <w:szCs w:val="20"/>
              </w:rPr>
              <w:t>49</w:t>
            </w:r>
          </w:p>
        </w:tc>
        <w:tc>
          <w:tcPr>
            <w:tcW w:w="992" w:type="dxa"/>
            <w:vAlign w:val="center"/>
          </w:tcPr>
          <w:p w14:paraId="01135F81" w14:textId="77777777" w:rsidR="003F07F6" w:rsidRPr="00C41B93" w:rsidRDefault="003F07F6" w:rsidP="00D7275E">
            <w:pPr>
              <w:jc w:val="center"/>
              <w:rPr>
                <w:b/>
                <w:bCs/>
                <w:sz w:val="20"/>
                <w:szCs w:val="20"/>
              </w:rPr>
            </w:pPr>
            <w:r w:rsidRPr="00C41B93">
              <w:rPr>
                <w:b/>
                <w:bCs/>
                <w:sz w:val="20"/>
                <w:szCs w:val="20"/>
              </w:rPr>
              <w:t>50</w:t>
            </w:r>
          </w:p>
        </w:tc>
        <w:tc>
          <w:tcPr>
            <w:tcW w:w="992" w:type="dxa"/>
            <w:vAlign w:val="center"/>
          </w:tcPr>
          <w:p w14:paraId="5F437AA1" w14:textId="77777777" w:rsidR="003F07F6" w:rsidRPr="00C41B93" w:rsidRDefault="003F07F6" w:rsidP="00D7275E">
            <w:pPr>
              <w:jc w:val="center"/>
              <w:rPr>
                <w:b/>
                <w:bCs/>
                <w:sz w:val="20"/>
                <w:szCs w:val="20"/>
              </w:rPr>
            </w:pPr>
            <w:r w:rsidRPr="00C41B93">
              <w:rPr>
                <w:b/>
                <w:bCs/>
                <w:sz w:val="20"/>
                <w:szCs w:val="20"/>
              </w:rPr>
              <w:t>67</w:t>
            </w:r>
          </w:p>
        </w:tc>
        <w:tc>
          <w:tcPr>
            <w:tcW w:w="895" w:type="dxa"/>
            <w:vAlign w:val="center"/>
          </w:tcPr>
          <w:p w14:paraId="3AC4571E" w14:textId="77777777" w:rsidR="003F07F6" w:rsidRPr="00C41B93" w:rsidRDefault="003F07F6" w:rsidP="00D7275E">
            <w:pPr>
              <w:jc w:val="center"/>
              <w:rPr>
                <w:b/>
                <w:bCs/>
                <w:sz w:val="20"/>
                <w:szCs w:val="20"/>
              </w:rPr>
            </w:pPr>
            <w:r w:rsidRPr="00C41B93">
              <w:rPr>
                <w:b/>
                <w:bCs/>
                <w:sz w:val="20"/>
                <w:szCs w:val="20"/>
              </w:rPr>
              <w:t>69</w:t>
            </w:r>
          </w:p>
        </w:tc>
      </w:tr>
    </w:tbl>
    <w:p w14:paraId="43B2E2F6" w14:textId="77777777" w:rsidR="003F07F6" w:rsidRDefault="003F07F6" w:rsidP="000A21DC">
      <w:pPr>
        <w:jc w:val="both"/>
        <w:rPr>
          <w:rFonts w:cstheme="minorHAnsi"/>
          <w:sz w:val="23"/>
          <w:szCs w:val="23"/>
        </w:rPr>
      </w:pPr>
    </w:p>
    <w:sectPr w:rsidR="003F07F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C015F" w14:textId="77777777" w:rsidR="00CF09A8" w:rsidRDefault="00CF09A8" w:rsidP="00C412D2">
      <w:pPr>
        <w:spacing w:after="0" w:line="240" w:lineRule="auto"/>
      </w:pPr>
      <w:r>
        <w:separator/>
      </w:r>
    </w:p>
  </w:endnote>
  <w:endnote w:type="continuationSeparator" w:id="0">
    <w:p w14:paraId="598A43FB" w14:textId="77777777" w:rsidR="00CF09A8" w:rsidRDefault="00CF09A8" w:rsidP="00C412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CA1657" w14:textId="77777777" w:rsidR="00CF09A8" w:rsidRDefault="00CF09A8" w:rsidP="00C412D2">
      <w:pPr>
        <w:spacing w:after="0" w:line="240" w:lineRule="auto"/>
      </w:pPr>
      <w:r>
        <w:separator/>
      </w:r>
    </w:p>
  </w:footnote>
  <w:footnote w:type="continuationSeparator" w:id="0">
    <w:p w14:paraId="2346596D" w14:textId="77777777" w:rsidR="00CF09A8" w:rsidRDefault="00CF09A8" w:rsidP="00C412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D6E6A"/>
    <w:multiLevelType w:val="hybridMultilevel"/>
    <w:tmpl w:val="5AB43B66"/>
    <w:lvl w:ilvl="0" w:tplc="FD487E44">
      <w:start w:val="1"/>
      <w:numFmt w:val="decimal"/>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1" w15:restartNumberingAfterBreak="0">
    <w:nsid w:val="0C7752C8"/>
    <w:multiLevelType w:val="hybridMultilevel"/>
    <w:tmpl w:val="10B2D08A"/>
    <w:lvl w:ilvl="0" w:tplc="340A0017">
      <w:start w:val="1"/>
      <w:numFmt w:val="lowerLetter"/>
      <w:lvlText w:val="%1)"/>
      <w:lvlJc w:val="left"/>
      <w:pPr>
        <w:ind w:left="720" w:hanging="360"/>
      </w:pPr>
    </w:lvl>
    <w:lvl w:ilvl="1" w:tplc="340A0019">
      <w:start w:val="1"/>
      <w:numFmt w:val="lowerLetter"/>
      <w:lvlText w:val="%2."/>
      <w:lvlJc w:val="left"/>
      <w:pPr>
        <w:ind w:left="1440" w:hanging="360"/>
      </w:pPr>
    </w:lvl>
    <w:lvl w:ilvl="2" w:tplc="340A001B">
      <w:start w:val="1"/>
      <w:numFmt w:val="lowerRoman"/>
      <w:lvlText w:val="%3."/>
      <w:lvlJc w:val="right"/>
      <w:pPr>
        <w:ind w:left="2160" w:hanging="180"/>
      </w:pPr>
    </w:lvl>
    <w:lvl w:ilvl="3" w:tplc="340A000F">
      <w:start w:val="1"/>
      <w:numFmt w:val="decimal"/>
      <w:lvlText w:val="%4."/>
      <w:lvlJc w:val="left"/>
      <w:pPr>
        <w:ind w:left="2880" w:hanging="360"/>
      </w:pPr>
    </w:lvl>
    <w:lvl w:ilvl="4" w:tplc="340A0019">
      <w:start w:val="1"/>
      <w:numFmt w:val="lowerLetter"/>
      <w:lvlText w:val="%5."/>
      <w:lvlJc w:val="left"/>
      <w:pPr>
        <w:ind w:left="3600" w:hanging="360"/>
      </w:pPr>
    </w:lvl>
    <w:lvl w:ilvl="5" w:tplc="340A001B">
      <w:start w:val="1"/>
      <w:numFmt w:val="lowerRoman"/>
      <w:lvlText w:val="%6."/>
      <w:lvlJc w:val="right"/>
      <w:pPr>
        <w:ind w:left="4320" w:hanging="180"/>
      </w:pPr>
    </w:lvl>
    <w:lvl w:ilvl="6" w:tplc="340A000F">
      <w:start w:val="1"/>
      <w:numFmt w:val="decimal"/>
      <w:lvlText w:val="%7."/>
      <w:lvlJc w:val="left"/>
      <w:pPr>
        <w:ind w:left="5040" w:hanging="360"/>
      </w:pPr>
    </w:lvl>
    <w:lvl w:ilvl="7" w:tplc="340A0019">
      <w:start w:val="1"/>
      <w:numFmt w:val="lowerLetter"/>
      <w:lvlText w:val="%8."/>
      <w:lvlJc w:val="left"/>
      <w:pPr>
        <w:ind w:left="5760" w:hanging="360"/>
      </w:pPr>
    </w:lvl>
    <w:lvl w:ilvl="8" w:tplc="340A001B">
      <w:start w:val="1"/>
      <w:numFmt w:val="lowerRoman"/>
      <w:lvlText w:val="%9."/>
      <w:lvlJc w:val="right"/>
      <w:pPr>
        <w:ind w:left="6480" w:hanging="180"/>
      </w:pPr>
    </w:lvl>
  </w:abstractNum>
  <w:abstractNum w:abstractNumId="2" w15:restartNumberingAfterBreak="0">
    <w:nsid w:val="0F736A36"/>
    <w:multiLevelType w:val="hybridMultilevel"/>
    <w:tmpl w:val="BF16363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27E1BA2"/>
    <w:multiLevelType w:val="hybridMultilevel"/>
    <w:tmpl w:val="865A8A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0214368"/>
    <w:multiLevelType w:val="hybridMultilevel"/>
    <w:tmpl w:val="6E18E6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087245F"/>
    <w:multiLevelType w:val="hybridMultilevel"/>
    <w:tmpl w:val="36804D76"/>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27DE204A"/>
    <w:multiLevelType w:val="hybridMultilevel"/>
    <w:tmpl w:val="CF765F64"/>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7" w15:restartNumberingAfterBreak="0">
    <w:nsid w:val="2E244466"/>
    <w:multiLevelType w:val="multilevel"/>
    <w:tmpl w:val="6A907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970F3D"/>
    <w:multiLevelType w:val="hybridMultilevel"/>
    <w:tmpl w:val="AD6A3C2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2FD07243"/>
    <w:multiLevelType w:val="hybridMultilevel"/>
    <w:tmpl w:val="862CEFA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0" w15:restartNumberingAfterBreak="0">
    <w:nsid w:val="302F2975"/>
    <w:multiLevelType w:val="hybridMultilevel"/>
    <w:tmpl w:val="4BB4C26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3B9B783D"/>
    <w:multiLevelType w:val="hybridMultilevel"/>
    <w:tmpl w:val="2298A84E"/>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2" w15:restartNumberingAfterBreak="0">
    <w:nsid w:val="3ED9498C"/>
    <w:multiLevelType w:val="hybridMultilevel"/>
    <w:tmpl w:val="95660016"/>
    <w:lvl w:ilvl="0" w:tplc="3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405C3DE0"/>
    <w:multiLevelType w:val="hybridMultilevel"/>
    <w:tmpl w:val="33F491AA"/>
    <w:lvl w:ilvl="0" w:tplc="340A0003">
      <w:start w:val="1"/>
      <w:numFmt w:val="bullet"/>
      <w:lvlText w:val="o"/>
      <w:lvlJc w:val="left"/>
      <w:pPr>
        <w:ind w:left="720" w:hanging="360"/>
      </w:pPr>
      <w:rPr>
        <w:rFonts w:ascii="Courier New" w:hAnsi="Courier New" w:cs="Courier New"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4" w15:restartNumberingAfterBreak="0">
    <w:nsid w:val="5173648B"/>
    <w:multiLevelType w:val="hybridMultilevel"/>
    <w:tmpl w:val="F68283FC"/>
    <w:lvl w:ilvl="0" w:tplc="080A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5CCF3E1D"/>
    <w:multiLevelType w:val="multilevel"/>
    <w:tmpl w:val="295646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407924"/>
    <w:multiLevelType w:val="hybridMultilevel"/>
    <w:tmpl w:val="394A4670"/>
    <w:lvl w:ilvl="0" w:tplc="34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0347AD9"/>
    <w:multiLevelType w:val="hybridMultilevel"/>
    <w:tmpl w:val="622E0C28"/>
    <w:lvl w:ilvl="0" w:tplc="340A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8" w15:restartNumberingAfterBreak="0">
    <w:nsid w:val="60630AEC"/>
    <w:multiLevelType w:val="multilevel"/>
    <w:tmpl w:val="56A09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5F834A2"/>
    <w:multiLevelType w:val="hybridMultilevel"/>
    <w:tmpl w:val="E13E9934"/>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20" w15:restartNumberingAfterBreak="0">
    <w:nsid w:val="69C85D7B"/>
    <w:multiLevelType w:val="multilevel"/>
    <w:tmpl w:val="F7786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0BA6827"/>
    <w:multiLevelType w:val="hybridMultilevel"/>
    <w:tmpl w:val="247AAC4A"/>
    <w:lvl w:ilvl="0" w:tplc="34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72D23F78"/>
    <w:multiLevelType w:val="hybridMultilevel"/>
    <w:tmpl w:val="B69AB18A"/>
    <w:lvl w:ilvl="0" w:tplc="1AFC9304">
      <w:numFmt w:val="bullet"/>
      <w:lvlText w:val="-"/>
      <w:lvlJc w:val="left"/>
      <w:pPr>
        <w:ind w:left="720" w:hanging="360"/>
      </w:pPr>
      <w:rPr>
        <w:rFonts w:ascii="Calibri" w:eastAsiaTheme="minorHAns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73060BC7"/>
    <w:multiLevelType w:val="hybridMultilevel"/>
    <w:tmpl w:val="ED42A2A2"/>
    <w:lvl w:ilvl="0" w:tplc="FFFFFFFF">
      <w:start w:val="1"/>
      <w:numFmt w:val="bullet"/>
      <w:lvlText w:val=""/>
      <w:lvlJc w:val="left"/>
      <w:pPr>
        <w:ind w:left="360" w:hanging="360"/>
      </w:pPr>
      <w:rPr>
        <w:rFonts w:ascii="Symbol" w:hAnsi="Symbol" w:hint="default"/>
      </w:rPr>
    </w:lvl>
    <w:lvl w:ilvl="1" w:tplc="340A0001">
      <w:start w:val="1"/>
      <w:numFmt w:val="bullet"/>
      <w:lvlText w:val=""/>
      <w:lvlJc w:val="left"/>
      <w:pPr>
        <w:ind w:left="1080" w:hanging="360"/>
      </w:pPr>
      <w:rPr>
        <w:rFonts w:ascii="Symbol" w:hAnsi="Symbol"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 w15:restartNumberingAfterBreak="0">
    <w:nsid w:val="75725F6E"/>
    <w:multiLevelType w:val="hybridMultilevel"/>
    <w:tmpl w:val="8934156C"/>
    <w:lvl w:ilvl="0" w:tplc="340A0001">
      <w:start w:val="1"/>
      <w:numFmt w:val="bullet"/>
      <w:lvlText w:val=""/>
      <w:lvlJc w:val="left"/>
      <w:pPr>
        <w:ind w:left="720" w:hanging="360"/>
      </w:pPr>
      <w:rPr>
        <w:rFonts w:ascii="Symbol" w:hAnsi="Symbol" w:hint="default"/>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15:restartNumberingAfterBreak="0">
    <w:nsid w:val="778A2C3C"/>
    <w:multiLevelType w:val="hybridMultilevel"/>
    <w:tmpl w:val="42CE6536"/>
    <w:lvl w:ilvl="0" w:tplc="340A0001">
      <w:start w:val="1"/>
      <w:numFmt w:val="bullet"/>
      <w:lvlText w:val=""/>
      <w:lvlJc w:val="left"/>
      <w:pPr>
        <w:ind w:left="360" w:hanging="360"/>
      </w:pPr>
      <w:rPr>
        <w:rFonts w:ascii="Symbol" w:hAnsi="Symbol" w:hint="default"/>
      </w:rPr>
    </w:lvl>
    <w:lvl w:ilvl="1" w:tplc="340A0003">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0"/>
  </w:num>
  <w:num w:numId="4">
    <w:abstractNumId w:val="3"/>
  </w:num>
  <w:num w:numId="5">
    <w:abstractNumId w:val="2"/>
  </w:num>
  <w:num w:numId="6">
    <w:abstractNumId w:val="1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6"/>
  </w:num>
  <w:num w:numId="13">
    <w:abstractNumId w:val="17"/>
  </w:num>
  <w:num w:numId="14">
    <w:abstractNumId w:val="7"/>
  </w:num>
  <w:num w:numId="15">
    <w:abstractNumId w:val="18"/>
  </w:num>
  <w:num w:numId="16">
    <w:abstractNumId w:val="15"/>
  </w:num>
  <w:num w:numId="17">
    <w:abstractNumId w:val="20"/>
  </w:num>
  <w:num w:numId="18">
    <w:abstractNumId w:val="19"/>
  </w:num>
  <w:num w:numId="19">
    <w:abstractNumId w:val="11"/>
  </w:num>
  <w:num w:numId="20">
    <w:abstractNumId w:val="22"/>
  </w:num>
  <w:num w:numId="21">
    <w:abstractNumId w:val="16"/>
  </w:num>
  <w:num w:numId="22">
    <w:abstractNumId w:val="12"/>
  </w:num>
  <w:num w:numId="23">
    <w:abstractNumId w:val="21"/>
  </w:num>
  <w:num w:numId="24">
    <w:abstractNumId w:val="4"/>
  </w:num>
  <w:num w:numId="25">
    <w:abstractNumId w:val="8"/>
  </w:num>
  <w:num w:numId="26">
    <w:abstractNumId w:val="25"/>
  </w:num>
  <w:num w:numId="27">
    <w:abstractNumId w:val="23"/>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318"/>
    <w:rsid w:val="00026956"/>
    <w:rsid w:val="00096D4F"/>
    <w:rsid w:val="000A21DC"/>
    <w:rsid w:val="001C0F4D"/>
    <w:rsid w:val="001C1758"/>
    <w:rsid w:val="001D7A5C"/>
    <w:rsid w:val="001E21E3"/>
    <w:rsid w:val="001E3626"/>
    <w:rsid w:val="0020595E"/>
    <w:rsid w:val="00205A86"/>
    <w:rsid w:val="002179B2"/>
    <w:rsid w:val="0023198A"/>
    <w:rsid w:val="00241E2C"/>
    <w:rsid w:val="00262055"/>
    <w:rsid w:val="00266424"/>
    <w:rsid w:val="002823D8"/>
    <w:rsid w:val="002B51B3"/>
    <w:rsid w:val="002C4E9C"/>
    <w:rsid w:val="002F6E26"/>
    <w:rsid w:val="003036ED"/>
    <w:rsid w:val="003352B3"/>
    <w:rsid w:val="003F07F6"/>
    <w:rsid w:val="00420BD6"/>
    <w:rsid w:val="00427C82"/>
    <w:rsid w:val="00482EB0"/>
    <w:rsid w:val="004D503A"/>
    <w:rsid w:val="00521188"/>
    <w:rsid w:val="00551880"/>
    <w:rsid w:val="005864F3"/>
    <w:rsid w:val="005878F1"/>
    <w:rsid w:val="005B5606"/>
    <w:rsid w:val="005E2E91"/>
    <w:rsid w:val="005E6C3E"/>
    <w:rsid w:val="006D6C1A"/>
    <w:rsid w:val="00716C1B"/>
    <w:rsid w:val="007260E5"/>
    <w:rsid w:val="007410FD"/>
    <w:rsid w:val="007665BE"/>
    <w:rsid w:val="00771ECD"/>
    <w:rsid w:val="00815585"/>
    <w:rsid w:val="0084132C"/>
    <w:rsid w:val="0086245D"/>
    <w:rsid w:val="009A7518"/>
    <w:rsid w:val="009C2238"/>
    <w:rsid w:val="00A25DCE"/>
    <w:rsid w:val="00A4111E"/>
    <w:rsid w:val="00A57E0B"/>
    <w:rsid w:val="00A8055D"/>
    <w:rsid w:val="00AF68EC"/>
    <w:rsid w:val="00B13664"/>
    <w:rsid w:val="00B71167"/>
    <w:rsid w:val="00BA3237"/>
    <w:rsid w:val="00BF44E6"/>
    <w:rsid w:val="00C412D2"/>
    <w:rsid w:val="00C42237"/>
    <w:rsid w:val="00C57A16"/>
    <w:rsid w:val="00CB18D7"/>
    <w:rsid w:val="00CF09A8"/>
    <w:rsid w:val="00CF401A"/>
    <w:rsid w:val="00D66DFC"/>
    <w:rsid w:val="00DC56DB"/>
    <w:rsid w:val="00DC5EEC"/>
    <w:rsid w:val="00E95AF2"/>
    <w:rsid w:val="00EB039C"/>
    <w:rsid w:val="00EB7228"/>
    <w:rsid w:val="00EC011D"/>
    <w:rsid w:val="00EC7646"/>
    <w:rsid w:val="00ED447E"/>
    <w:rsid w:val="00F07A35"/>
    <w:rsid w:val="00F211B6"/>
    <w:rsid w:val="00F92318"/>
    <w:rsid w:val="00FD6333"/>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271B8"/>
  <w15:chartTrackingRefBased/>
  <w15:docId w15:val="{949F8568-3106-4213-8E40-1BA9E4D14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11B6"/>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026956"/>
    <w:pPr>
      <w:spacing w:line="256" w:lineRule="auto"/>
      <w:ind w:left="720"/>
      <w:contextualSpacing/>
    </w:pPr>
  </w:style>
  <w:style w:type="paragraph" w:customStyle="1" w:styleId="Default">
    <w:name w:val="Default"/>
    <w:rsid w:val="007665BE"/>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unhideWhenUsed/>
    <w:rsid w:val="00521188"/>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Refdecomentario">
    <w:name w:val="annotation reference"/>
    <w:basedOn w:val="Fuentedeprrafopredeter"/>
    <w:uiPriority w:val="99"/>
    <w:semiHidden/>
    <w:unhideWhenUsed/>
    <w:rsid w:val="00C57A16"/>
    <w:rPr>
      <w:sz w:val="16"/>
      <w:szCs w:val="16"/>
    </w:rPr>
  </w:style>
  <w:style w:type="paragraph" w:styleId="Textocomentario">
    <w:name w:val="annotation text"/>
    <w:basedOn w:val="Normal"/>
    <w:link w:val="TextocomentarioCar"/>
    <w:uiPriority w:val="99"/>
    <w:unhideWhenUsed/>
    <w:rsid w:val="00C57A16"/>
    <w:pPr>
      <w:spacing w:line="240" w:lineRule="auto"/>
    </w:pPr>
    <w:rPr>
      <w:sz w:val="20"/>
      <w:szCs w:val="20"/>
    </w:rPr>
  </w:style>
  <w:style w:type="character" w:customStyle="1" w:styleId="TextocomentarioCar">
    <w:name w:val="Texto comentario Car"/>
    <w:basedOn w:val="Fuentedeprrafopredeter"/>
    <w:link w:val="Textocomentario"/>
    <w:uiPriority w:val="99"/>
    <w:rsid w:val="00C57A16"/>
    <w:rPr>
      <w:sz w:val="20"/>
      <w:szCs w:val="20"/>
    </w:rPr>
  </w:style>
  <w:style w:type="paragraph" w:styleId="Asuntodelcomentario">
    <w:name w:val="annotation subject"/>
    <w:basedOn w:val="Textocomentario"/>
    <w:next w:val="Textocomentario"/>
    <w:link w:val="AsuntodelcomentarioCar"/>
    <w:uiPriority w:val="99"/>
    <w:semiHidden/>
    <w:unhideWhenUsed/>
    <w:rsid w:val="00C57A16"/>
    <w:rPr>
      <w:b/>
      <w:bCs/>
    </w:rPr>
  </w:style>
  <w:style w:type="character" w:customStyle="1" w:styleId="AsuntodelcomentarioCar">
    <w:name w:val="Asunto del comentario Car"/>
    <w:basedOn w:val="TextocomentarioCar"/>
    <w:link w:val="Asuntodelcomentario"/>
    <w:uiPriority w:val="99"/>
    <w:semiHidden/>
    <w:rsid w:val="00C57A16"/>
    <w:rPr>
      <w:b/>
      <w:bCs/>
      <w:sz w:val="20"/>
      <w:szCs w:val="20"/>
    </w:rPr>
  </w:style>
  <w:style w:type="paragraph" w:styleId="Textonotapie">
    <w:name w:val="footnote text"/>
    <w:basedOn w:val="Normal"/>
    <w:link w:val="TextonotapieCar"/>
    <w:uiPriority w:val="99"/>
    <w:semiHidden/>
    <w:unhideWhenUsed/>
    <w:rsid w:val="00C412D2"/>
    <w:pPr>
      <w:spacing w:after="0" w:line="240" w:lineRule="auto"/>
      <w:jc w:val="both"/>
    </w:pPr>
    <w:rPr>
      <w:rFonts w:ascii="Arial Narrow" w:eastAsia="Times New Roman" w:hAnsi="Arial Narrow" w:cs="Times New Roman"/>
      <w:b/>
      <w:bCs/>
      <w:sz w:val="20"/>
      <w:szCs w:val="20"/>
      <w:lang w:val="es-ES"/>
    </w:rPr>
  </w:style>
  <w:style w:type="character" w:customStyle="1" w:styleId="TextonotapieCar">
    <w:name w:val="Texto nota pie Car"/>
    <w:basedOn w:val="Fuentedeprrafopredeter"/>
    <w:link w:val="Textonotapie"/>
    <w:uiPriority w:val="99"/>
    <w:semiHidden/>
    <w:rsid w:val="00C412D2"/>
    <w:rPr>
      <w:rFonts w:ascii="Arial Narrow" w:eastAsia="Times New Roman" w:hAnsi="Arial Narrow" w:cs="Times New Roman"/>
      <w:b/>
      <w:bCs/>
      <w:sz w:val="20"/>
      <w:szCs w:val="20"/>
      <w:lang w:val="es-ES"/>
    </w:rPr>
  </w:style>
  <w:style w:type="character" w:styleId="Refdenotaalpie">
    <w:name w:val="footnote reference"/>
    <w:autoRedefine/>
    <w:uiPriority w:val="99"/>
    <w:semiHidden/>
    <w:unhideWhenUsed/>
    <w:rsid w:val="00C412D2"/>
    <w:rPr>
      <w:rFonts w:ascii="Arial Narrow" w:hAnsi="Arial Narrow" w:hint="default"/>
      <w:b/>
      <w:bCs w:val="0"/>
      <w:strike w:val="0"/>
      <w:dstrike w:val="0"/>
      <w:sz w:val="20"/>
      <w:u w:val="none"/>
      <w:effect w:val="none"/>
      <w:vertAlign w:val="baseline"/>
    </w:rPr>
  </w:style>
  <w:style w:type="paragraph" w:customStyle="1" w:styleId="xmsonormal">
    <w:name w:val="x_msonormal"/>
    <w:basedOn w:val="Normal"/>
    <w:rsid w:val="00CF401A"/>
    <w:pPr>
      <w:spacing w:after="0" w:line="240" w:lineRule="auto"/>
    </w:pPr>
    <w:rPr>
      <w:rFonts w:ascii="Calibri" w:hAnsi="Calibri" w:cs="Calibri"/>
      <w:lang w:val="es-ES" w:eastAsia="es-ES"/>
    </w:rPr>
  </w:style>
  <w:style w:type="table" w:styleId="Tablaconcuadrcula">
    <w:name w:val="Table Grid"/>
    <w:basedOn w:val="Tablanormal"/>
    <w:uiPriority w:val="39"/>
    <w:rsid w:val="00A57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88981">
      <w:bodyDiv w:val="1"/>
      <w:marLeft w:val="0"/>
      <w:marRight w:val="0"/>
      <w:marTop w:val="0"/>
      <w:marBottom w:val="0"/>
      <w:divBdr>
        <w:top w:val="none" w:sz="0" w:space="0" w:color="auto"/>
        <w:left w:val="none" w:sz="0" w:space="0" w:color="auto"/>
        <w:bottom w:val="none" w:sz="0" w:space="0" w:color="auto"/>
        <w:right w:val="none" w:sz="0" w:space="0" w:color="auto"/>
      </w:divBdr>
    </w:div>
    <w:div w:id="234048885">
      <w:bodyDiv w:val="1"/>
      <w:marLeft w:val="0"/>
      <w:marRight w:val="0"/>
      <w:marTop w:val="0"/>
      <w:marBottom w:val="0"/>
      <w:divBdr>
        <w:top w:val="none" w:sz="0" w:space="0" w:color="auto"/>
        <w:left w:val="none" w:sz="0" w:space="0" w:color="auto"/>
        <w:bottom w:val="none" w:sz="0" w:space="0" w:color="auto"/>
        <w:right w:val="none" w:sz="0" w:space="0" w:color="auto"/>
      </w:divBdr>
    </w:div>
    <w:div w:id="411973945">
      <w:bodyDiv w:val="1"/>
      <w:marLeft w:val="0"/>
      <w:marRight w:val="0"/>
      <w:marTop w:val="0"/>
      <w:marBottom w:val="0"/>
      <w:divBdr>
        <w:top w:val="none" w:sz="0" w:space="0" w:color="auto"/>
        <w:left w:val="none" w:sz="0" w:space="0" w:color="auto"/>
        <w:bottom w:val="none" w:sz="0" w:space="0" w:color="auto"/>
        <w:right w:val="none" w:sz="0" w:space="0" w:color="auto"/>
      </w:divBdr>
    </w:div>
    <w:div w:id="532114793">
      <w:bodyDiv w:val="1"/>
      <w:marLeft w:val="0"/>
      <w:marRight w:val="0"/>
      <w:marTop w:val="0"/>
      <w:marBottom w:val="0"/>
      <w:divBdr>
        <w:top w:val="none" w:sz="0" w:space="0" w:color="auto"/>
        <w:left w:val="none" w:sz="0" w:space="0" w:color="auto"/>
        <w:bottom w:val="none" w:sz="0" w:space="0" w:color="auto"/>
        <w:right w:val="none" w:sz="0" w:space="0" w:color="auto"/>
      </w:divBdr>
    </w:div>
    <w:div w:id="788014382">
      <w:bodyDiv w:val="1"/>
      <w:marLeft w:val="0"/>
      <w:marRight w:val="0"/>
      <w:marTop w:val="0"/>
      <w:marBottom w:val="0"/>
      <w:divBdr>
        <w:top w:val="none" w:sz="0" w:space="0" w:color="auto"/>
        <w:left w:val="none" w:sz="0" w:space="0" w:color="auto"/>
        <w:bottom w:val="none" w:sz="0" w:space="0" w:color="auto"/>
        <w:right w:val="none" w:sz="0" w:space="0" w:color="auto"/>
      </w:divBdr>
    </w:div>
    <w:div w:id="1001350562">
      <w:bodyDiv w:val="1"/>
      <w:marLeft w:val="0"/>
      <w:marRight w:val="0"/>
      <w:marTop w:val="0"/>
      <w:marBottom w:val="0"/>
      <w:divBdr>
        <w:top w:val="none" w:sz="0" w:space="0" w:color="auto"/>
        <w:left w:val="none" w:sz="0" w:space="0" w:color="auto"/>
        <w:bottom w:val="none" w:sz="0" w:space="0" w:color="auto"/>
        <w:right w:val="none" w:sz="0" w:space="0" w:color="auto"/>
      </w:divBdr>
    </w:div>
    <w:div w:id="1121845273">
      <w:bodyDiv w:val="1"/>
      <w:marLeft w:val="0"/>
      <w:marRight w:val="0"/>
      <w:marTop w:val="0"/>
      <w:marBottom w:val="0"/>
      <w:divBdr>
        <w:top w:val="none" w:sz="0" w:space="0" w:color="auto"/>
        <w:left w:val="none" w:sz="0" w:space="0" w:color="auto"/>
        <w:bottom w:val="none" w:sz="0" w:space="0" w:color="auto"/>
        <w:right w:val="none" w:sz="0" w:space="0" w:color="auto"/>
      </w:divBdr>
    </w:div>
    <w:div w:id="1133711344">
      <w:bodyDiv w:val="1"/>
      <w:marLeft w:val="0"/>
      <w:marRight w:val="0"/>
      <w:marTop w:val="0"/>
      <w:marBottom w:val="0"/>
      <w:divBdr>
        <w:top w:val="none" w:sz="0" w:space="0" w:color="auto"/>
        <w:left w:val="none" w:sz="0" w:space="0" w:color="auto"/>
        <w:bottom w:val="none" w:sz="0" w:space="0" w:color="auto"/>
        <w:right w:val="none" w:sz="0" w:space="0" w:color="auto"/>
      </w:divBdr>
    </w:div>
    <w:div w:id="1159423966">
      <w:bodyDiv w:val="1"/>
      <w:marLeft w:val="0"/>
      <w:marRight w:val="0"/>
      <w:marTop w:val="0"/>
      <w:marBottom w:val="0"/>
      <w:divBdr>
        <w:top w:val="none" w:sz="0" w:space="0" w:color="auto"/>
        <w:left w:val="none" w:sz="0" w:space="0" w:color="auto"/>
        <w:bottom w:val="none" w:sz="0" w:space="0" w:color="auto"/>
        <w:right w:val="none" w:sz="0" w:space="0" w:color="auto"/>
      </w:divBdr>
    </w:div>
    <w:div w:id="1516992716">
      <w:bodyDiv w:val="1"/>
      <w:marLeft w:val="0"/>
      <w:marRight w:val="0"/>
      <w:marTop w:val="0"/>
      <w:marBottom w:val="0"/>
      <w:divBdr>
        <w:top w:val="none" w:sz="0" w:space="0" w:color="auto"/>
        <w:left w:val="none" w:sz="0" w:space="0" w:color="auto"/>
        <w:bottom w:val="none" w:sz="0" w:space="0" w:color="auto"/>
        <w:right w:val="none" w:sz="0" w:space="0" w:color="auto"/>
      </w:divBdr>
    </w:div>
    <w:div w:id="1616907894">
      <w:bodyDiv w:val="1"/>
      <w:marLeft w:val="0"/>
      <w:marRight w:val="0"/>
      <w:marTop w:val="0"/>
      <w:marBottom w:val="0"/>
      <w:divBdr>
        <w:top w:val="none" w:sz="0" w:space="0" w:color="auto"/>
        <w:left w:val="none" w:sz="0" w:space="0" w:color="auto"/>
        <w:bottom w:val="none" w:sz="0" w:space="0" w:color="auto"/>
        <w:right w:val="none" w:sz="0" w:space="0" w:color="auto"/>
      </w:divBdr>
    </w:div>
    <w:div w:id="1839734850">
      <w:bodyDiv w:val="1"/>
      <w:marLeft w:val="0"/>
      <w:marRight w:val="0"/>
      <w:marTop w:val="0"/>
      <w:marBottom w:val="0"/>
      <w:divBdr>
        <w:top w:val="none" w:sz="0" w:space="0" w:color="auto"/>
        <w:left w:val="none" w:sz="0" w:space="0" w:color="auto"/>
        <w:bottom w:val="none" w:sz="0" w:space="0" w:color="auto"/>
        <w:right w:val="none" w:sz="0" w:space="0" w:color="auto"/>
      </w:divBdr>
    </w:div>
    <w:div w:id="1973055017">
      <w:bodyDiv w:val="1"/>
      <w:marLeft w:val="0"/>
      <w:marRight w:val="0"/>
      <w:marTop w:val="0"/>
      <w:marBottom w:val="0"/>
      <w:divBdr>
        <w:top w:val="none" w:sz="0" w:space="0" w:color="auto"/>
        <w:left w:val="none" w:sz="0" w:space="0" w:color="auto"/>
        <w:bottom w:val="none" w:sz="0" w:space="0" w:color="auto"/>
        <w:right w:val="none" w:sz="0" w:space="0" w:color="auto"/>
      </w:divBdr>
    </w:div>
    <w:div w:id="2119249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5958</Words>
  <Characters>32770</Characters>
  <Application>Microsoft Office Word</Application>
  <DocSecurity>0</DocSecurity>
  <Lines>273</Lines>
  <Paragraphs>77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Yazmin Altamirano</dc:creator>
  <cp:keywords/>
  <dc:description/>
  <cp:lastModifiedBy>Maria Angelica Jimenez</cp:lastModifiedBy>
  <cp:revision>2</cp:revision>
  <dcterms:created xsi:type="dcterms:W3CDTF">2022-03-02T15:43:00Z</dcterms:created>
  <dcterms:modified xsi:type="dcterms:W3CDTF">2022-03-02T15:43:00Z</dcterms:modified>
</cp:coreProperties>
</file>