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D063A" w14:textId="427826FE" w:rsidR="00E74788" w:rsidRPr="00ED59F1" w:rsidRDefault="00E74788" w:rsidP="00E4132F">
      <w:pPr>
        <w:keepNext/>
        <w:keepLines/>
        <w:spacing w:before="40" w:after="0" w:line="276" w:lineRule="auto"/>
        <w:jc w:val="center"/>
        <w:outlineLvl w:val="1"/>
        <w:rPr>
          <w:rFonts w:eastAsiaTheme="majorEastAsia" w:cstheme="minorHAnsi"/>
          <w:b/>
          <w:bCs/>
          <w:color w:val="2F5496" w:themeColor="accent1" w:themeShade="BF"/>
          <w:sz w:val="28"/>
          <w:szCs w:val="28"/>
        </w:rPr>
      </w:pPr>
      <w:bookmarkStart w:id="0" w:name="_Toc44877773"/>
      <w:bookmarkStart w:id="1" w:name="_GoBack"/>
      <w:bookmarkEnd w:id="1"/>
      <w:r w:rsidRPr="00ED59F1">
        <w:rPr>
          <w:rFonts w:eastAsiaTheme="majorEastAsia" w:cstheme="minorHAnsi"/>
          <w:b/>
          <w:bCs/>
          <w:color w:val="2F5496" w:themeColor="accent1" w:themeShade="BF"/>
          <w:sz w:val="28"/>
          <w:szCs w:val="28"/>
        </w:rPr>
        <w:t>Hitos Intendencia / Delegacion Presidencial Región Metropolitana</w:t>
      </w:r>
    </w:p>
    <w:p w14:paraId="45CE7471" w14:textId="77777777" w:rsidR="0037196D" w:rsidRDefault="0037196D" w:rsidP="0037196D">
      <w:pPr>
        <w:jc w:val="both"/>
        <w:rPr>
          <w:rFonts w:ascii="Calibri" w:hAnsi="Calibri" w:cs="Calibri"/>
          <w:b/>
          <w:bCs/>
          <w:sz w:val="26"/>
          <w:szCs w:val="26"/>
        </w:rPr>
      </w:pPr>
    </w:p>
    <w:p w14:paraId="079B7F93" w14:textId="77777777" w:rsidR="00E7273E" w:rsidRDefault="00E7273E" w:rsidP="00E7273E">
      <w:pPr>
        <w:jc w:val="both"/>
        <w:rPr>
          <w:rFonts w:asciiTheme="majorHAnsi" w:hAnsiTheme="majorHAnsi" w:cstheme="majorHAnsi"/>
          <w:color w:val="2F5496" w:themeColor="accent1" w:themeShade="BF"/>
          <w:sz w:val="26"/>
          <w:szCs w:val="26"/>
          <w:u w:val="single"/>
        </w:rPr>
      </w:pPr>
      <w:r>
        <w:rPr>
          <w:rFonts w:asciiTheme="majorHAnsi" w:hAnsiTheme="majorHAnsi" w:cstheme="majorHAnsi"/>
          <w:color w:val="2F5496" w:themeColor="accent1" w:themeShade="BF"/>
          <w:sz w:val="26"/>
          <w:szCs w:val="26"/>
          <w:u w:val="single"/>
        </w:rPr>
        <w:t>1</w:t>
      </w:r>
      <w:r w:rsidR="00D03A8F">
        <w:rPr>
          <w:rFonts w:asciiTheme="majorHAnsi" w:hAnsiTheme="majorHAnsi" w:cstheme="majorHAnsi"/>
          <w:color w:val="2F5496" w:themeColor="accent1" w:themeShade="BF"/>
          <w:sz w:val="26"/>
          <w:szCs w:val="26"/>
          <w:u w:val="single"/>
        </w:rPr>
        <w:t>.-</w:t>
      </w:r>
      <w:r w:rsidR="00E74788" w:rsidRPr="00E74788">
        <w:rPr>
          <w:rFonts w:asciiTheme="majorHAnsi" w:hAnsiTheme="majorHAnsi" w:cstheme="majorHAnsi"/>
          <w:color w:val="2F5496" w:themeColor="accent1" w:themeShade="BF"/>
          <w:sz w:val="26"/>
          <w:szCs w:val="26"/>
          <w:u w:val="single"/>
        </w:rPr>
        <w:t>Convenio M</w:t>
      </w:r>
      <w:r w:rsidR="00ED59F1">
        <w:rPr>
          <w:rFonts w:asciiTheme="majorHAnsi" w:hAnsiTheme="majorHAnsi" w:cstheme="majorHAnsi"/>
          <w:color w:val="2F5496" w:themeColor="accent1" w:themeShade="BF"/>
          <w:sz w:val="26"/>
          <w:szCs w:val="26"/>
          <w:u w:val="single"/>
        </w:rPr>
        <w:t>INSAL</w:t>
      </w:r>
      <w:r w:rsidR="00E74788" w:rsidRPr="00E74788">
        <w:rPr>
          <w:rFonts w:asciiTheme="majorHAnsi" w:hAnsiTheme="majorHAnsi" w:cstheme="majorHAnsi"/>
          <w:color w:val="2F5496" w:themeColor="accent1" w:themeShade="BF"/>
          <w:sz w:val="26"/>
          <w:szCs w:val="26"/>
          <w:u w:val="single"/>
        </w:rPr>
        <w:t xml:space="preserve"> – Gore para infraestructura de salud.</w:t>
      </w:r>
      <w:r w:rsidR="005B5F9B">
        <w:rPr>
          <w:rFonts w:asciiTheme="majorHAnsi" w:hAnsiTheme="majorHAnsi" w:cstheme="majorHAnsi"/>
          <w:color w:val="2F5496" w:themeColor="accent1" w:themeShade="BF"/>
          <w:sz w:val="26"/>
          <w:szCs w:val="26"/>
          <w:u w:val="single"/>
        </w:rPr>
        <w:t xml:space="preserve"> ($75.705.663</w:t>
      </w:r>
      <w:r w:rsidR="00DA427F">
        <w:rPr>
          <w:rFonts w:asciiTheme="majorHAnsi" w:hAnsiTheme="majorHAnsi" w:cstheme="majorHAnsi"/>
          <w:color w:val="2F5496" w:themeColor="accent1" w:themeShade="BF"/>
          <w:sz w:val="26"/>
          <w:szCs w:val="26"/>
          <w:u w:val="single"/>
        </w:rPr>
        <w:t xml:space="preserve"> mil</w:t>
      </w:r>
      <w:r w:rsidR="005B5F9B">
        <w:rPr>
          <w:rFonts w:asciiTheme="majorHAnsi" w:hAnsiTheme="majorHAnsi" w:cstheme="majorHAnsi"/>
          <w:color w:val="2F5496" w:themeColor="accent1" w:themeShade="BF"/>
          <w:sz w:val="26"/>
          <w:szCs w:val="26"/>
          <w:u w:val="single"/>
        </w:rPr>
        <w:t xml:space="preserve"> millones)</w:t>
      </w:r>
    </w:p>
    <w:p w14:paraId="4F2D8609" w14:textId="4BE7685C" w:rsidR="00E74788" w:rsidRPr="00E7273E" w:rsidRDefault="00E74788" w:rsidP="00E7273E">
      <w:pPr>
        <w:jc w:val="both"/>
        <w:rPr>
          <w:rFonts w:asciiTheme="majorHAnsi" w:hAnsiTheme="majorHAnsi" w:cstheme="majorHAnsi"/>
          <w:color w:val="2F5496" w:themeColor="accent1" w:themeShade="BF"/>
          <w:sz w:val="24"/>
          <w:szCs w:val="24"/>
          <w:u w:val="single"/>
        </w:rPr>
      </w:pPr>
      <w:r w:rsidRPr="00E7273E">
        <w:rPr>
          <w:rFonts w:ascii="Calibri" w:hAnsi="Calibri" w:cs="Calibri"/>
          <w:sz w:val="24"/>
          <w:szCs w:val="24"/>
        </w:rPr>
        <w:t>El protocolo establece un monto total de inversión de M$247.817.167 de los cuales el 69% será aportado por el Minsal (M$172.111.504) y el restante 31% será aportado por el GORE M$75.705.663</w:t>
      </w:r>
      <w:r w:rsidR="005B5F9B" w:rsidRPr="00E7273E">
        <w:rPr>
          <w:rFonts w:ascii="Calibri" w:hAnsi="Calibri" w:cs="Calibri"/>
          <w:sz w:val="24"/>
          <w:szCs w:val="24"/>
        </w:rPr>
        <w:t>).</w:t>
      </w:r>
    </w:p>
    <w:p w14:paraId="207BF830" w14:textId="77777777" w:rsidR="00E74788" w:rsidRPr="00E7273E" w:rsidRDefault="00E74788" w:rsidP="0037196D">
      <w:pPr>
        <w:spacing w:after="0"/>
        <w:jc w:val="both"/>
        <w:rPr>
          <w:rFonts w:ascii="Calibri" w:hAnsi="Calibri" w:cs="Calibri"/>
          <w:sz w:val="24"/>
          <w:szCs w:val="24"/>
        </w:rPr>
      </w:pPr>
      <w:r w:rsidRPr="00E7273E">
        <w:rPr>
          <w:rFonts w:ascii="Calibri" w:hAnsi="Calibri" w:cs="Calibri"/>
          <w:sz w:val="24"/>
          <w:szCs w:val="24"/>
        </w:rPr>
        <w:t xml:space="preserve">Duración 8 años </w:t>
      </w:r>
    </w:p>
    <w:p w14:paraId="4EED1903" w14:textId="4897B889" w:rsidR="00E74788" w:rsidRPr="00E7273E" w:rsidRDefault="00E74788" w:rsidP="0037196D">
      <w:pPr>
        <w:spacing w:after="0"/>
        <w:jc w:val="both"/>
        <w:rPr>
          <w:rFonts w:ascii="Calibri" w:hAnsi="Calibri" w:cs="Calibri"/>
          <w:sz w:val="24"/>
          <w:szCs w:val="24"/>
          <w:shd w:val="clear" w:color="auto" w:fill="FFFFFF"/>
        </w:rPr>
      </w:pPr>
      <w:r w:rsidRPr="00E7273E">
        <w:rPr>
          <w:rFonts w:ascii="Calibri" w:hAnsi="Calibri" w:cs="Calibri"/>
          <w:sz w:val="24"/>
          <w:szCs w:val="24"/>
        </w:rPr>
        <w:t>26 proyectos hospitalarios / 56 CESFAM / 10 SAR</w:t>
      </w:r>
      <w:r w:rsidRPr="00E7273E">
        <w:rPr>
          <w:rFonts w:ascii="Calibri" w:hAnsi="Calibri" w:cs="Calibri"/>
          <w:sz w:val="24"/>
          <w:szCs w:val="24"/>
          <w:shd w:val="clear" w:color="auto" w:fill="FFFFFF"/>
        </w:rPr>
        <w:t xml:space="preserve"> (Servicio de atención primaria de urgencia de alta resolución).</w:t>
      </w:r>
    </w:p>
    <w:p w14:paraId="7F8F3496" w14:textId="77777777" w:rsidR="00E7273E" w:rsidRDefault="00E7273E" w:rsidP="0037196D">
      <w:pPr>
        <w:spacing w:after="0"/>
        <w:jc w:val="both"/>
        <w:rPr>
          <w:rFonts w:ascii="Calibri" w:hAnsi="Calibri" w:cs="Calibri"/>
          <w:shd w:val="clear" w:color="auto" w:fill="FFFFFF"/>
        </w:rPr>
      </w:pPr>
    </w:p>
    <w:p w14:paraId="7CF7CABC" w14:textId="7581745C" w:rsidR="00E7273E" w:rsidRPr="00E74788" w:rsidRDefault="00E7273E" w:rsidP="00E7273E">
      <w:pPr>
        <w:pStyle w:val="Ttulo3"/>
        <w:spacing w:before="0" w:line="276" w:lineRule="auto"/>
        <w:jc w:val="both"/>
        <w:rPr>
          <w:sz w:val="26"/>
          <w:szCs w:val="26"/>
          <w:u w:val="single"/>
        </w:rPr>
      </w:pPr>
      <w:bookmarkStart w:id="2" w:name="_Toc44877776"/>
      <w:r>
        <w:rPr>
          <w:sz w:val="26"/>
          <w:szCs w:val="26"/>
          <w:u w:val="single"/>
        </w:rPr>
        <w:t xml:space="preserve">1.1 </w:t>
      </w:r>
      <w:r w:rsidRPr="00E74788">
        <w:rPr>
          <w:sz w:val="26"/>
          <w:szCs w:val="26"/>
          <w:u w:val="single"/>
        </w:rPr>
        <w:t>Adquisición de ambulancias</w:t>
      </w:r>
      <w:bookmarkEnd w:id="2"/>
    </w:p>
    <w:p w14:paraId="49299265" w14:textId="77777777" w:rsidR="00E7273E" w:rsidRPr="00E7273E" w:rsidRDefault="00E7273E" w:rsidP="00E7273E">
      <w:pPr>
        <w:pStyle w:val="NormalWeb"/>
        <w:shd w:val="clear" w:color="auto" w:fill="FFFFFF"/>
        <w:spacing w:before="0" w:beforeAutospacing="0" w:after="0" w:afterAutospacing="0" w:line="276" w:lineRule="auto"/>
        <w:jc w:val="both"/>
        <w:textAlignment w:val="baseline"/>
        <w:rPr>
          <w:rFonts w:ascii="Calibri (cuepo)" w:hAnsi="Calibri (cuepo)"/>
        </w:rPr>
      </w:pPr>
      <w:r w:rsidRPr="00E7273E">
        <w:rPr>
          <w:rFonts w:ascii="Calibri (cuepo)" w:hAnsi="Calibri (cuepo)"/>
        </w:rPr>
        <w:t xml:space="preserve">Se adquirieron </w:t>
      </w:r>
      <w:r w:rsidRPr="00E7273E">
        <w:rPr>
          <w:rFonts w:ascii="Calibri (cuepo)" w:hAnsi="Calibri (cuepo)"/>
          <w:b/>
        </w:rPr>
        <w:t>39 ambulancias,</w:t>
      </w:r>
      <w:r w:rsidRPr="00E7273E">
        <w:rPr>
          <w:rFonts w:ascii="Calibri (cuepo)" w:hAnsi="Calibri (cuepo)"/>
        </w:rPr>
        <w:t xml:space="preserve"> con fondos del GORE Metropolitano, destinadas a reforzar el trabajo en </w:t>
      </w:r>
      <w:r w:rsidRPr="00E7273E">
        <w:rPr>
          <w:rFonts w:ascii="Calibri (cuepo)" w:hAnsi="Calibri (cuepo)"/>
          <w:b/>
        </w:rPr>
        <w:t>15 municipios</w:t>
      </w:r>
      <w:r w:rsidRPr="00E7273E">
        <w:rPr>
          <w:rFonts w:ascii="Calibri (cuepo)" w:hAnsi="Calibri (cuepo)"/>
        </w:rPr>
        <w:t xml:space="preserve"> de la RM. Con esta compra se pretende compensar en parte el alza en la demanda de estos vehículos durante la crisis sanitaria generada por el Covid-19, especialmente en el traslado de pacientes desde comunas rurales hasta centros hospitalarios de base.</w:t>
      </w:r>
    </w:p>
    <w:p w14:paraId="5AE20F85" w14:textId="77777777" w:rsidR="00E7273E" w:rsidRPr="00E7273E" w:rsidRDefault="00E7273E" w:rsidP="00E7273E">
      <w:pPr>
        <w:pStyle w:val="NormalWeb"/>
        <w:shd w:val="clear" w:color="auto" w:fill="FFFFFF"/>
        <w:spacing w:before="0" w:beforeAutospacing="0" w:after="0" w:afterAutospacing="0" w:line="276" w:lineRule="auto"/>
        <w:jc w:val="both"/>
        <w:textAlignment w:val="baseline"/>
        <w:rPr>
          <w:rFonts w:ascii="Calibri (cuepo)" w:hAnsi="Calibri (cuepo)"/>
        </w:rPr>
      </w:pPr>
      <w:r w:rsidRPr="00E7273E">
        <w:rPr>
          <w:rFonts w:ascii="Calibri (cuepo)" w:hAnsi="Calibri (cuepo)"/>
        </w:rPr>
        <w:t xml:space="preserve">El proyecto tuvo una inversión cercana a los </w:t>
      </w:r>
      <w:r w:rsidRPr="00E7273E">
        <w:rPr>
          <w:rFonts w:ascii="Calibri (cuepo)" w:hAnsi="Calibri (cuepo)"/>
          <w:b/>
        </w:rPr>
        <w:t>$2 mil millones</w:t>
      </w:r>
      <w:r w:rsidRPr="00E7273E">
        <w:rPr>
          <w:rFonts w:ascii="Calibri (cuepo)" w:hAnsi="Calibri (cuepo)"/>
        </w:rPr>
        <w:t xml:space="preserve"> ($63 millones aproximadamente cada ambulancia) y los vehículos se repartirán en 8 comunas urbanas y 7 rurales. La puesta en marcha del plan permite reforzar este importante eslabón de la cadena de salud y brindar así una mejor atención y un traslado más expedito para los contagiados con el virus, y una vez superada la emergencia, por los usuarios de los centros de salud públicos.</w:t>
      </w:r>
    </w:p>
    <w:p w14:paraId="2D7A518F" w14:textId="77777777" w:rsidR="00E7273E" w:rsidRPr="00E7273E" w:rsidRDefault="00E7273E" w:rsidP="00E7273E">
      <w:pPr>
        <w:keepNext/>
        <w:keepLines/>
        <w:spacing w:before="40" w:after="0" w:line="276" w:lineRule="auto"/>
        <w:jc w:val="both"/>
        <w:outlineLvl w:val="1"/>
        <w:rPr>
          <w:rFonts w:asciiTheme="majorHAnsi" w:eastAsiaTheme="majorEastAsia" w:hAnsiTheme="majorHAnsi" w:cstheme="majorBidi"/>
          <w:color w:val="2F5496" w:themeColor="accent1" w:themeShade="BF"/>
          <w:sz w:val="24"/>
          <w:szCs w:val="24"/>
        </w:rPr>
      </w:pPr>
    </w:p>
    <w:p w14:paraId="28D5360E" w14:textId="07D5AB05" w:rsidR="00ED59F1" w:rsidRPr="00E7273E" w:rsidRDefault="00ED59F1" w:rsidP="0037196D">
      <w:pPr>
        <w:spacing w:after="0"/>
        <w:jc w:val="both"/>
        <w:rPr>
          <w:rFonts w:ascii="Calibri" w:hAnsi="Calibri" w:cs="Calibri"/>
          <w:sz w:val="24"/>
          <w:szCs w:val="24"/>
          <w:shd w:val="clear" w:color="auto" w:fill="FFFFFF"/>
        </w:rPr>
      </w:pPr>
    </w:p>
    <w:p w14:paraId="53FCDE9B" w14:textId="69391736" w:rsidR="005B5F9B" w:rsidRPr="005B5F9B" w:rsidRDefault="00E7273E" w:rsidP="005B5F9B">
      <w:pPr>
        <w:spacing w:after="0"/>
        <w:jc w:val="both"/>
        <w:rPr>
          <w:rFonts w:ascii="Calibri" w:hAnsi="Calibri" w:cs="Calibri"/>
          <w:color w:val="2F5496" w:themeColor="accent1" w:themeShade="BF"/>
          <w:sz w:val="26"/>
          <w:szCs w:val="26"/>
          <w:shd w:val="clear" w:color="auto" w:fill="FFFFFF"/>
        </w:rPr>
      </w:pPr>
      <w:r>
        <w:rPr>
          <w:rFonts w:ascii="Calibri" w:hAnsi="Calibri" w:cs="Calibri"/>
          <w:color w:val="2F5496" w:themeColor="accent1" w:themeShade="BF"/>
          <w:sz w:val="26"/>
          <w:szCs w:val="26"/>
          <w:u w:val="single"/>
          <w:shd w:val="clear" w:color="auto" w:fill="FFFFFF"/>
        </w:rPr>
        <w:t>2</w:t>
      </w:r>
      <w:r w:rsidR="00D03A8F" w:rsidRPr="005B5F9B">
        <w:rPr>
          <w:rFonts w:ascii="Calibri" w:hAnsi="Calibri" w:cs="Calibri"/>
          <w:color w:val="2F5496" w:themeColor="accent1" w:themeShade="BF"/>
          <w:sz w:val="26"/>
          <w:szCs w:val="26"/>
          <w:u w:val="single"/>
          <w:shd w:val="clear" w:color="auto" w:fill="FFFFFF"/>
        </w:rPr>
        <w:t>.-</w:t>
      </w:r>
      <w:r w:rsidR="00ED59F1" w:rsidRPr="005B5F9B">
        <w:rPr>
          <w:rFonts w:ascii="Calibri" w:hAnsi="Calibri" w:cs="Calibri"/>
          <w:color w:val="2F5496" w:themeColor="accent1" w:themeShade="BF"/>
          <w:sz w:val="26"/>
          <w:szCs w:val="26"/>
          <w:u w:val="single"/>
          <w:shd w:val="clear" w:color="auto" w:fill="FFFFFF"/>
        </w:rPr>
        <w:t xml:space="preserve">Convenio MINAGRI – GORE </w:t>
      </w:r>
      <w:r w:rsidR="005B5F9B" w:rsidRPr="005B5F9B">
        <w:rPr>
          <w:rFonts w:ascii="Calibri" w:hAnsi="Calibri" w:cs="Calibri"/>
          <w:color w:val="2F5496" w:themeColor="accent1" w:themeShade="BF"/>
          <w:sz w:val="26"/>
          <w:szCs w:val="26"/>
          <w:u w:val="single"/>
          <w:shd w:val="clear" w:color="auto" w:fill="FFFFFF"/>
        </w:rPr>
        <w:t>(</w:t>
      </w:r>
      <w:r w:rsidR="005B5F9B" w:rsidRPr="005B5F9B">
        <w:rPr>
          <w:rFonts w:ascii="Calibri" w:hAnsi="Calibri" w:cs="Calibri"/>
          <w:color w:val="2F5496" w:themeColor="accent1" w:themeShade="BF"/>
          <w:sz w:val="26"/>
          <w:szCs w:val="26"/>
          <w:shd w:val="clear" w:color="auto" w:fill="FFFFFF"/>
        </w:rPr>
        <w:t xml:space="preserve">M$29.047.000 </w:t>
      </w:r>
      <w:r w:rsidR="00DA427F">
        <w:rPr>
          <w:rFonts w:ascii="Calibri" w:hAnsi="Calibri" w:cs="Calibri"/>
          <w:color w:val="2F5496" w:themeColor="accent1" w:themeShade="BF"/>
          <w:sz w:val="26"/>
          <w:szCs w:val="26"/>
          <w:shd w:val="clear" w:color="auto" w:fill="FFFFFF"/>
        </w:rPr>
        <w:t xml:space="preserve">mil </w:t>
      </w:r>
      <w:r w:rsidR="005B5F9B" w:rsidRPr="005B5F9B">
        <w:rPr>
          <w:rFonts w:ascii="Calibri" w:hAnsi="Calibri" w:cs="Calibri"/>
          <w:color w:val="2F5496" w:themeColor="accent1" w:themeShade="BF"/>
          <w:sz w:val="26"/>
          <w:szCs w:val="26"/>
          <w:shd w:val="clear" w:color="auto" w:fill="FFFFFF"/>
        </w:rPr>
        <w:t xml:space="preserve">millones) </w:t>
      </w:r>
    </w:p>
    <w:p w14:paraId="67AA9E78" w14:textId="573DB171" w:rsidR="00ED59F1" w:rsidRPr="005B5F9B" w:rsidRDefault="005B5F9B" w:rsidP="0037196D">
      <w:pPr>
        <w:spacing w:after="0"/>
        <w:jc w:val="both"/>
        <w:rPr>
          <w:rFonts w:ascii="Calibri" w:hAnsi="Calibri" w:cs="Calibri"/>
          <w:sz w:val="24"/>
          <w:szCs w:val="24"/>
          <w:shd w:val="clear" w:color="auto" w:fill="FFFFFF"/>
        </w:rPr>
      </w:pPr>
      <w:r w:rsidRPr="005B5F9B">
        <w:rPr>
          <w:rFonts w:ascii="Calibri" w:hAnsi="Calibri" w:cs="Calibri"/>
          <w:sz w:val="24"/>
          <w:szCs w:val="24"/>
          <w:shd w:val="clear" w:color="auto" w:fill="FFFFFF"/>
        </w:rPr>
        <w:t>D</w:t>
      </w:r>
      <w:r w:rsidR="00ED59F1" w:rsidRPr="005B5F9B">
        <w:rPr>
          <w:rFonts w:ascii="Calibri" w:hAnsi="Calibri" w:cs="Calibri"/>
          <w:sz w:val="24"/>
          <w:szCs w:val="24"/>
          <w:shd w:val="clear" w:color="auto" w:fill="FFFFFF"/>
        </w:rPr>
        <w:t>uración de 5 años.</w:t>
      </w:r>
    </w:p>
    <w:p w14:paraId="0DEB3EE3" w14:textId="77777777" w:rsidR="00ED59F1" w:rsidRPr="00ED59F1" w:rsidRDefault="00ED59F1" w:rsidP="00ED59F1">
      <w:pPr>
        <w:spacing w:before="82" w:after="0" w:line="240" w:lineRule="auto"/>
        <w:jc w:val="both"/>
        <w:rPr>
          <w:rFonts w:asciiTheme="majorHAnsi" w:eastAsia="Times New Roman" w:hAnsiTheme="majorHAnsi" w:cstheme="majorHAnsi"/>
          <w:sz w:val="24"/>
          <w:szCs w:val="24"/>
          <w:lang w:eastAsia="es-CL"/>
        </w:rPr>
      </w:pPr>
      <w:r w:rsidRPr="00ED59F1">
        <w:rPr>
          <w:rFonts w:asciiTheme="majorHAnsi" w:eastAsia="Verdana" w:hAnsiTheme="majorHAnsi" w:cstheme="majorHAnsi"/>
          <w:color w:val="000000" w:themeColor="text1"/>
          <w:kern w:val="24"/>
          <w:sz w:val="24"/>
          <w:szCs w:val="24"/>
          <w:lang w:eastAsia="es-CL"/>
        </w:rPr>
        <w:t>1.-</w:t>
      </w:r>
      <w:r w:rsidRPr="00ED59F1">
        <w:rPr>
          <w:rFonts w:asciiTheme="majorHAnsi" w:eastAsia="Verdana" w:hAnsiTheme="majorHAnsi" w:cstheme="majorHAnsi"/>
          <w:b/>
          <w:bCs/>
          <w:color w:val="000000" w:themeColor="text1"/>
          <w:kern w:val="24"/>
          <w:sz w:val="24"/>
          <w:szCs w:val="24"/>
          <w:lang w:eastAsia="es-CL"/>
        </w:rPr>
        <w:t xml:space="preserve"> </w:t>
      </w:r>
      <w:r w:rsidRPr="00ED59F1">
        <w:rPr>
          <w:rFonts w:asciiTheme="majorHAnsi" w:eastAsia="Verdana" w:hAnsiTheme="majorHAnsi" w:cstheme="majorHAnsi"/>
          <w:color w:val="000000" w:themeColor="text1"/>
          <w:kern w:val="24"/>
          <w:sz w:val="24"/>
          <w:szCs w:val="24"/>
          <w:lang w:eastAsia="es-CL"/>
        </w:rPr>
        <w:t>Convenio de Programación MINAGRI-GORE:</w:t>
      </w:r>
      <w:r w:rsidRPr="00ED59F1">
        <w:rPr>
          <w:rFonts w:asciiTheme="majorHAnsi" w:eastAsia="Verdana" w:hAnsiTheme="majorHAnsi" w:cstheme="majorHAnsi"/>
          <w:b/>
          <w:bCs/>
          <w:color w:val="000000" w:themeColor="text1"/>
          <w:kern w:val="24"/>
          <w:sz w:val="24"/>
          <w:szCs w:val="24"/>
          <w:lang w:eastAsia="es-CL"/>
        </w:rPr>
        <w:t xml:space="preserve"> </w:t>
      </w:r>
      <w:r w:rsidRPr="00ED59F1">
        <w:rPr>
          <w:rFonts w:asciiTheme="majorHAnsi" w:eastAsia="Verdana" w:hAnsiTheme="majorHAnsi" w:cstheme="majorHAnsi"/>
          <w:color w:val="000000" w:themeColor="text1"/>
          <w:kern w:val="24"/>
          <w:sz w:val="24"/>
          <w:szCs w:val="24"/>
          <w:lang w:eastAsia="es-CL"/>
        </w:rPr>
        <w:t xml:space="preserve">Convenio con aportes 50% Minagri y 50% GORE que totalizan casi $30.000 millones de pesos enfocado en riego, seguros climáticos, reconversión y protección de medio ambiente. </w:t>
      </w:r>
    </w:p>
    <w:p w14:paraId="14D8321B" w14:textId="5AF8F17B" w:rsidR="00ED59F1" w:rsidRPr="00ED59F1" w:rsidRDefault="00ED59F1" w:rsidP="00ED59F1">
      <w:pPr>
        <w:spacing w:before="82" w:after="0" w:line="240" w:lineRule="auto"/>
        <w:jc w:val="both"/>
        <w:rPr>
          <w:rFonts w:asciiTheme="majorHAnsi" w:eastAsia="Times New Roman" w:hAnsiTheme="majorHAnsi" w:cstheme="majorHAnsi"/>
          <w:sz w:val="24"/>
          <w:szCs w:val="24"/>
          <w:lang w:eastAsia="es-CL"/>
        </w:rPr>
      </w:pPr>
      <w:r w:rsidRPr="00ED59F1">
        <w:rPr>
          <w:rFonts w:asciiTheme="majorHAnsi" w:eastAsia="Verdana" w:hAnsiTheme="majorHAnsi" w:cstheme="majorHAnsi"/>
          <w:color w:val="000000" w:themeColor="text1"/>
          <w:kern w:val="24"/>
          <w:sz w:val="24"/>
          <w:szCs w:val="24"/>
          <w:lang w:eastAsia="es-CL"/>
        </w:rPr>
        <w:t>2.-</w:t>
      </w:r>
      <w:r w:rsidRPr="00ED59F1">
        <w:rPr>
          <w:rFonts w:asciiTheme="majorHAnsi" w:eastAsia="Verdana" w:hAnsiTheme="majorHAnsi" w:cstheme="majorHAnsi"/>
          <w:b/>
          <w:bCs/>
          <w:color w:val="000000" w:themeColor="text1"/>
          <w:kern w:val="24"/>
          <w:sz w:val="24"/>
          <w:szCs w:val="24"/>
          <w:lang w:eastAsia="es-CL"/>
        </w:rPr>
        <w:t xml:space="preserve"> </w:t>
      </w:r>
      <w:r w:rsidRPr="00ED59F1">
        <w:rPr>
          <w:rFonts w:asciiTheme="majorHAnsi" w:eastAsia="Verdana" w:hAnsiTheme="majorHAnsi" w:cstheme="majorHAnsi"/>
          <w:color w:val="000000" w:themeColor="text1"/>
          <w:kern w:val="24"/>
          <w:sz w:val="24"/>
          <w:szCs w:val="24"/>
          <w:lang w:eastAsia="es-CL"/>
        </w:rPr>
        <w:t>Convenio de Transferencia entre MINAGRI y comunas de Curacaví y Maria Pinto:</w:t>
      </w:r>
      <w:r w:rsidRPr="00ED59F1">
        <w:rPr>
          <w:rFonts w:asciiTheme="majorHAnsi" w:eastAsia="Verdana" w:hAnsiTheme="majorHAnsi" w:cstheme="majorHAnsi"/>
          <w:b/>
          <w:bCs/>
          <w:color w:val="000000" w:themeColor="text1"/>
          <w:kern w:val="24"/>
          <w:sz w:val="24"/>
          <w:szCs w:val="24"/>
          <w:lang w:eastAsia="es-CL"/>
        </w:rPr>
        <w:t xml:space="preserve"> </w:t>
      </w:r>
      <w:r w:rsidRPr="00ED59F1">
        <w:rPr>
          <w:rFonts w:asciiTheme="majorHAnsi" w:eastAsia="Verdana" w:hAnsiTheme="majorHAnsi" w:cstheme="majorHAnsi"/>
          <w:color w:val="000000" w:themeColor="text1"/>
          <w:kern w:val="24"/>
          <w:sz w:val="24"/>
          <w:szCs w:val="24"/>
          <w:lang w:eastAsia="es-CL"/>
        </w:rPr>
        <w:t xml:space="preserve">Ministerio decreta emergencia agrícola y consigue recursos por 2.600 millones para ir en ayuda de </w:t>
      </w:r>
      <w:r w:rsidR="009330F1" w:rsidRPr="00ED59F1">
        <w:rPr>
          <w:rFonts w:asciiTheme="majorHAnsi" w:eastAsia="Verdana" w:hAnsiTheme="majorHAnsi" w:cstheme="majorHAnsi"/>
          <w:color w:val="000000" w:themeColor="text1"/>
          <w:kern w:val="24"/>
          <w:sz w:val="24"/>
          <w:szCs w:val="24"/>
          <w:lang w:eastAsia="es-CL"/>
        </w:rPr>
        <w:t>más</w:t>
      </w:r>
      <w:r w:rsidRPr="00ED59F1">
        <w:rPr>
          <w:rFonts w:asciiTheme="majorHAnsi" w:eastAsia="Verdana" w:hAnsiTheme="majorHAnsi" w:cstheme="majorHAnsi"/>
          <w:color w:val="000000" w:themeColor="text1"/>
          <w:kern w:val="24"/>
          <w:sz w:val="24"/>
          <w:szCs w:val="24"/>
          <w:lang w:eastAsia="es-CL"/>
        </w:rPr>
        <w:t xml:space="preserve"> de 1.000 agricultores. </w:t>
      </w:r>
    </w:p>
    <w:p w14:paraId="4506ECA8" w14:textId="77777777" w:rsidR="00ED59F1" w:rsidRPr="00ED59F1" w:rsidRDefault="00ED59F1" w:rsidP="00ED59F1">
      <w:pPr>
        <w:spacing w:before="82" w:after="0" w:line="240" w:lineRule="auto"/>
        <w:jc w:val="both"/>
        <w:rPr>
          <w:rFonts w:asciiTheme="majorHAnsi" w:eastAsia="Times New Roman" w:hAnsiTheme="majorHAnsi" w:cstheme="majorHAnsi"/>
          <w:sz w:val="24"/>
          <w:szCs w:val="24"/>
          <w:lang w:eastAsia="es-CL"/>
        </w:rPr>
      </w:pPr>
      <w:r w:rsidRPr="00ED59F1">
        <w:rPr>
          <w:rFonts w:asciiTheme="majorHAnsi" w:eastAsia="Verdana" w:hAnsiTheme="majorHAnsi" w:cstheme="majorHAnsi"/>
          <w:color w:val="000000" w:themeColor="text1"/>
          <w:kern w:val="24"/>
          <w:sz w:val="24"/>
          <w:szCs w:val="24"/>
          <w:lang w:eastAsia="es-CL"/>
        </w:rPr>
        <w:t>3.- Incendios Forestales:</w:t>
      </w:r>
      <w:r w:rsidRPr="00ED59F1">
        <w:rPr>
          <w:rFonts w:asciiTheme="majorHAnsi" w:eastAsia="Verdana" w:hAnsiTheme="majorHAnsi" w:cstheme="majorHAnsi"/>
          <w:b/>
          <w:bCs/>
          <w:color w:val="000000" w:themeColor="text1"/>
          <w:kern w:val="24"/>
          <w:sz w:val="24"/>
          <w:szCs w:val="24"/>
          <w:lang w:eastAsia="es-CL"/>
        </w:rPr>
        <w:t xml:space="preserve"> </w:t>
      </w:r>
      <w:r w:rsidRPr="00ED59F1">
        <w:rPr>
          <w:rFonts w:asciiTheme="majorHAnsi" w:eastAsia="Verdana" w:hAnsiTheme="majorHAnsi" w:cstheme="majorHAnsi"/>
          <w:color w:val="000000" w:themeColor="text1"/>
          <w:kern w:val="24"/>
          <w:sz w:val="24"/>
          <w:szCs w:val="24"/>
          <w:lang w:eastAsia="es-CL"/>
        </w:rPr>
        <w:t>A la fecha contamos con 241 ha consumidas por incendios forestales, el año pasado en esta fecha se habían quemado 3.299 ha.</w:t>
      </w:r>
    </w:p>
    <w:p w14:paraId="35B1C15F" w14:textId="05CC9887" w:rsidR="00ED59F1" w:rsidRPr="00ED59F1" w:rsidRDefault="00ED59F1" w:rsidP="00ED59F1">
      <w:pPr>
        <w:spacing w:before="82" w:after="0" w:line="240" w:lineRule="auto"/>
        <w:jc w:val="both"/>
        <w:rPr>
          <w:rFonts w:asciiTheme="majorHAnsi" w:eastAsia="Times New Roman" w:hAnsiTheme="majorHAnsi" w:cstheme="majorHAnsi"/>
          <w:sz w:val="24"/>
          <w:szCs w:val="24"/>
          <w:lang w:eastAsia="es-CL"/>
        </w:rPr>
      </w:pPr>
      <w:r w:rsidRPr="00ED59F1">
        <w:rPr>
          <w:rFonts w:asciiTheme="majorHAnsi" w:eastAsia="Verdana" w:hAnsiTheme="majorHAnsi" w:cstheme="majorHAnsi"/>
          <w:color w:val="000000" w:themeColor="text1"/>
          <w:kern w:val="24"/>
          <w:sz w:val="24"/>
          <w:szCs w:val="24"/>
          <w:lang w:eastAsia="es-CL"/>
        </w:rPr>
        <w:t xml:space="preserve">4.- Convenio Indap – </w:t>
      </w:r>
      <w:r w:rsidR="005B5F9B" w:rsidRPr="00ED59F1">
        <w:rPr>
          <w:rFonts w:asciiTheme="majorHAnsi" w:eastAsia="Verdana" w:hAnsiTheme="majorHAnsi" w:cstheme="majorHAnsi"/>
          <w:color w:val="000000" w:themeColor="text1"/>
          <w:kern w:val="24"/>
          <w:sz w:val="24"/>
          <w:szCs w:val="24"/>
          <w:lang w:eastAsia="es-CL"/>
        </w:rPr>
        <w:t>Angloamericana</w:t>
      </w:r>
      <w:r w:rsidRPr="00ED59F1">
        <w:rPr>
          <w:rFonts w:asciiTheme="majorHAnsi" w:eastAsia="Verdana" w:hAnsiTheme="majorHAnsi" w:cstheme="majorHAnsi"/>
          <w:color w:val="000000" w:themeColor="text1"/>
          <w:kern w:val="24"/>
          <w:sz w:val="24"/>
          <w:szCs w:val="24"/>
          <w:lang w:eastAsia="es-CL"/>
        </w:rPr>
        <w:t>:</w:t>
      </w:r>
      <w:r w:rsidRPr="00ED59F1">
        <w:rPr>
          <w:rFonts w:asciiTheme="majorHAnsi" w:eastAsia="Verdana" w:hAnsiTheme="majorHAnsi" w:cstheme="majorHAnsi"/>
          <w:b/>
          <w:bCs/>
          <w:color w:val="000000" w:themeColor="text1"/>
          <w:kern w:val="24"/>
          <w:sz w:val="24"/>
          <w:szCs w:val="24"/>
          <w:lang w:eastAsia="es-CL"/>
        </w:rPr>
        <w:t xml:space="preserve"> </w:t>
      </w:r>
      <w:r w:rsidRPr="00ED59F1">
        <w:rPr>
          <w:rFonts w:asciiTheme="majorHAnsi" w:eastAsia="Verdana" w:hAnsiTheme="majorHAnsi" w:cstheme="majorHAnsi"/>
          <w:color w:val="000000" w:themeColor="text1"/>
          <w:kern w:val="24"/>
          <w:sz w:val="24"/>
          <w:szCs w:val="24"/>
          <w:lang w:eastAsia="es-CL"/>
        </w:rPr>
        <w:t>Convenio por 300 millones de pesos que permite realizar obras de riego en las comunas de Colina, Lampa y Tiltil.</w:t>
      </w:r>
    </w:p>
    <w:p w14:paraId="7F543944" w14:textId="77777777" w:rsidR="00ED59F1" w:rsidRPr="00ED59F1" w:rsidRDefault="00ED59F1" w:rsidP="00ED59F1">
      <w:pPr>
        <w:spacing w:before="82" w:after="0" w:line="240" w:lineRule="auto"/>
        <w:jc w:val="both"/>
        <w:rPr>
          <w:rFonts w:asciiTheme="majorHAnsi" w:eastAsia="Times New Roman" w:hAnsiTheme="majorHAnsi" w:cstheme="majorHAnsi"/>
          <w:sz w:val="24"/>
          <w:szCs w:val="24"/>
          <w:lang w:eastAsia="es-CL"/>
        </w:rPr>
      </w:pPr>
      <w:r w:rsidRPr="00ED59F1">
        <w:rPr>
          <w:rFonts w:asciiTheme="majorHAnsi" w:eastAsia="Verdana" w:hAnsiTheme="majorHAnsi" w:cstheme="majorHAnsi"/>
          <w:color w:val="000000" w:themeColor="text1"/>
          <w:kern w:val="24"/>
          <w:sz w:val="24"/>
          <w:szCs w:val="24"/>
          <w:lang w:eastAsia="es-CL"/>
        </w:rPr>
        <w:lastRenderedPageBreak/>
        <w:t xml:space="preserve">5.- Programa de Transferencia de recurso Chinche Pintada: Con recursos de GORE, INIA se encuentra ejecutando programa para reducir plaga que ataca a Hortalizas como repollo, brócoli y coliflor. </w:t>
      </w:r>
    </w:p>
    <w:p w14:paraId="5D25EB26" w14:textId="77777777" w:rsidR="00ED59F1" w:rsidRPr="00ED59F1" w:rsidRDefault="00ED59F1" w:rsidP="00ED59F1">
      <w:pPr>
        <w:spacing w:before="82" w:after="0" w:line="240" w:lineRule="auto"/>
        <w:jc w:val="both"/>
        <w:rPr>
          <w:rFonts w:asciiTheme="majorHAnsi" w:eastAsia="Times New Roman" w:hAnsiTheme="majorHAnsi" w:cstheme="majorHAnsi"/>
          <w:sz w:val="24"/>
          <w:szCs w:val="24"/>
          <w:lang w:eastAsia="es-CL"/>
        </w:rPr>
      </w:pPr>
      <w:r w:rsidRPr="00ED59F1">
        <w:rPr>
          <w:rFonts w:asciiTheme="majorHAnsi" w:eastAsia="Verdana" w:hAnsiTheme="majorHAnsi" w:cstheme="majorHAnsi"/>
          <w:color w:val="000000" w:themeColor="text1"/>
          <w:kern w:val="24"/>
          <w:sz w:val="24"/>
          <w:szCs w:val="24"/>
          <w:lang w:eastAsia="es-CL"/>
        </w:rPr>
        <w:t>6.- Programa Territorial Integrado PTI Hortícola:</w:t>
      </w:r>
      <w:r w:rsidRPr="00ED59F1">
        <w:rPr>
          <w:rFonts w:asciiTheme="majorHAnsi" w:eastAsia="Verdana" w:hAnsiTheme="majorHAnsi" w:cstheme="majorHAnsi"/>
          <w:b/>
          <w:bCs/>
          <w:color w:val="000000" w:themeColor="text1"/>
          <w:kern w:val="24"/>
          <w:sz w:val="24"/>
          <w:szCs w:val="24"/>
          <w:lang w:eastAsia="es-CL"/>
        </w:rPr>
        <w:t xml:space="preserve"> </w:t>
      </w:r>
      <w:r w:rsidRPr="00ED59F1">
        <w:rPr>
          <w:rFonts w:asciiTheme="majorHAnsi" w:eastAsia="Verdana" w:hAnsiTheme="majorHAnsi" w:cstheme="majorHAnsi"/>
          <w:color w:val="000000" w:themeColor="text1"/>
          <w:kern w:val="24"/>
          <w:sz w:val="24"/>
          <w:szCs w:val="24"/>
          <w:lang w:eastAsia="es-CL"/>
        </w:rPr>
        <w:t xml:space="preserve">busca disminuir brechas en la inocuidad de los alimentos y la comercialización de productos hortícolas. </w:t>
      </w:r>
    </w:p>
    <w:p w14:paraId="12BAFDFA" w14:textId="77777777" w:rsidR="00ED59F1" w:rsidRPr="00ED59F1" w:rsidRDefault="00ED59F1" w:rsidP="00ED59F1">
      <w:pPr>
        <w:spacing w:before="82" w:after="0" w:line="240" w:lineRule="auto"/>
        <w:jc w:val="both"/>
        <w:rPr>
          <w:rFonts w:asciiTheme="majorHAnsi" w:eastAsia="Times New Roman" w:hAnsiTheme="majorHAnsi" w:cstheme="majorHAnsi"/>
          <w:sz w:val="24"/>
          <w:szCs w:val="24"/>
          <w:lang w:eastAsia="es-CL"/>
        </w:rPr>
      </w:pPr>
      <w:r w:rsidRPr="00ED59F1">
        <w:rPr>
          <w:rFonts w:asciiTheme="majorHAnsi" w:eastAsia="Verdana" w:hAnsiTheme="majorHAnsi" w:cstheme="majorHAnsi"/>
          <w:color w:val="000000" w:themeColor="text1"/>
          <w:kern w:val="24"/>
          <w:sz w:val="24"/>
          <w:szCs w:val="24"/>
          <w:lang w:eastAsia="es-CL"/>
        </w:rPr>
        <w:t>7.- Programa PILOTO GEF Montaña:</w:t>
      </w:r>
      <w:r w:rsidRPr="00ED59F1">
        <w:rPr>
          <w:rFonts w:asciiTheme="majorHAnsi" w:eastAsia="Verdana" w:hAnsiTheme="majorHAnsi" w:cstheme="majorHAnsi"/>
          <w:b/>
          <w:bCs/>
          <w:color w:val="000000" w:themeColor="text1"/>
          <w:kern w:val="24"/>
          <w:sz w:val="24"/>
          <w:szCs w:val="24"/>
          <w:lang w:eastAsia="es-CL"/>
        </w:rPr>
        <w:t xml:space="preserve"> </w:t>
      </w:r>
      <w:r w:rsidRPr="00ED59F1">
        <w:rPr>
          <w:rFonts w:asciiTheme="majorHAnsi" w:eastAsia="Verdana" w:hAnsiTheme="majorHAnsi" w:cstheme="majorHAnsi"/>
          <w:color w:val="000000" w:themeColor="text1"/>
          <w:kern w:val="24"/>
          <w:sz w:val="24"/>
          <w:szCs w:val="24"/>
          <w:lang w:eastAsia="es-CL"/>
        </w:rPr>
        <w:t xml:space="preserve">el objetivo de proyecto es que ganaderos puedan optar a territorio fiscal (Fundo Rio Colorado) mediante un Plan de Manejo Ganadero Sustentable, certificado por el Ministerio de Agricultura. </w:t>
      </w:r>
    </w:p>
    <w:bookmarkEnd w:id="0"/>
    <w:p w14:paraId="11AB1911" w14:textId="77777777" w:rsidR="001C5B74" w:rsidRDefault="001C5B74" w:rsidP="0037196D">
      <w:pPr>
        <w:pStyle w:val="NormalWeb"/>
        <w:spacing w:before="0" w:beforeAutospacing="0" w:after="0" w:afterAutospacing="0" w:line="276" w:lineRule="auto"/>
        <w:jc w:val="both"/>
        <w:rPr>
          <w:rFonts w:ascii="Calibri" w:hAnsi="Calibri" w:cs="Calibri"/>
          <w:color w:val="2F5496" w:themeColor="accent1" w:themeShade="BF"/>
          <w:sz w:val="26"/>
          <w:szCs w:val="26"/>
          <w:u w:val="single"/>
        </w:rPr>
      </w:pPr>
    </w:p>
    <w:p w14:paraId="26BE65C1" w14:textId="04643595" w:rsidR="0037196D" w:rsidRPr="0037196D" w:rsidRDefault="00E7273E" w:rsidP="0037196D">
      <w:pPr>
        <w:pStyle w:val="NormalWeb"/>
        <w:spacing w:before="0" w:beforeAutospacing="0" w:after="0" w:afterAutospacing="0" w:line="276" w:lineRule="auto"/>
        <w:jc w:val="both"/>
        <w:rPr>
          <w:rFonts w:ascii="Calibri" w:hAnsi="Calibri" w:cs="Calibri"/>
          <w:color w:val="2F5496" w:themeColor="accent1" w:themeShade="BF"/>
          <w:sz w:val="26"/>
          <w:szCs w:val="26"/>
          <w:u w:val="single"/>
        </w:rPr>
      </w:pPr>
      <w:r>
        <w:rPr>
          <w:rFonts w:ascii="Calibri" w:hAnsi="Calibri" w:cs="Calibri"/>
          <w:color w:val="2F5496" w:themeColor="accent1" w:themeShade="BF"/>
          <w:sz w:val="26"/>
          <w:szCs w:val="26"/>
          <w:u w:val="single"/>
        </w:rPr>
        <w:t>4</w:t>
      </w:r>
      <w:r w:rsidR="00D03A8F">
        <w:rPr>
          <w:rFonts w:ascii="Calibri" w:hAnsi="Calibri" w:cs="Calibri"/>
          <w:color w:val="2F5496" w:themeColor="accent1" w:themeShade="BF"/>
          <w:sz w:val="26"/>
          <w:szCs w:val="26"/>
          <w:u w:val="single"/>
        </w:rPr>
        <w:t>.-</w:t>
      </w:r>
      <w:r w:rsidR="0037196D" w:rsidRPr="0037196D">
        <w:rPr>
          <w:rFonts w:ascii="Calibri" w:hAnsi="Calibri" w:cs="Calibri"/>
          <w:color w:val="2F5496" w:themeColor="accent1" w:themeShade="BF"/>
          <w:sz w:val="26"/>
          <w:szCs w:val="26"/>
          <w:u w:val="single"/>
        </w:rPr>
        <w:t xml:space="preserve">Parques y </w:t>
      </w:r>
      <w:r w:rsidR="0037196D">
        <w:rPr>
          <w:rFonts w:ascii="Calibri" w:hAnsi="Calibri" w:cs="Calibri"/>
          <w:color w:val="2F5496" w:themeColor="accent1" w:themeShade="BF"/>
          <w:sz w:val="26"/>
          <w:szCs w:val="26"/>
          <w:u w:val="single"/>
        </w:rPr>
        <w:t>Á</w:t>
      </w:r>
      <w:r w:rsidR="0037196D" w:rsidRPr="0037196D">
        <w:rPr>
          <w:rFonts w:ascii="Calibri" w:hAnsi="Calibri" w:cs="Calibri"/>
          <w:color w:val="2F5496" w:themeColor="accent1" w:themeShade="BF"/>
          <w:sz w:val="26"/>
          <w:szCs w:val="26"/>
          <w:u w:val="single"/>
        </w:rPr>
        <w:t xml:space="preserve">reas verdes </w:t>
      </w:r>
      <w:bookmarkStart w:id="3" w:name="_Toc44877787"/>
      <w:r w:rsidR="00DA427F">
        <w:rPr>
          <w:rFonts w:ascii="Calibri" w:hAnsi="Calibri" w:cs="Calibri"/>
          <w:color w:val="2F5496" w:themeColor="accent1" w:themeShade="BF"/>
          <w:sz w:val="26"/>
          <w:szCs w:val="26"/>
          <w:u w:val="single"/>
        </w:rPr>
        <w:t>($26 mil millones)</w:t>
      </w:r>
    </w:p>
    <w:p w14:paraId="40BA803B" w14:textId="4A181768" w:rsidR="00CA6CE6" w:rsidRPr="0037196D" w:rsidRDefault="00CA6CE6" w:rsidP="0037196D">
      <w:pPr>
        <w:pStyle w:val="NormalWeb"/>
        <w:spacing w:before="0" w:beforeAutospacing="0" w:after="0" w:afterAutospacing="0" w:line="276" w:lineRule="auto"/>
        <w:jc w:val="both"/>
        <w:rPr>
          <w:rFonts w:ascii="Calibri" w:hAnsi="Calibri" w:cs="Calibri"/>
          <w:color w:val="2F5496" w:themeColor="accent1" w:themeShade="BF"/>
          <w:sz w:val="26"/>
          <w:szCs w:val="26"/>
          <w:u w:val="single"/>
        </w:rPr>
      </w:pPr>
      <w:r w:rsidRPr="0037196D">
        <w:rPr>
          <w:rFonts w:asciiTheme="minorHAnsi" w:hAnsiTheme="minorHAnsi" w:cstheme="minorHAnsi"/>
          <w:color w:val="2F5496" w:themeColor="accent1" w:themeShade="BF"/>
          <w:u w:val="single"/>
        </w:rPr>
        <w:t>Parque Metropolitano Cerro Chena, 1</w:t>
      </w:r>
      <w:r w:rsidRPr="0037196D">
        <w:rPr>
          <w:rFonts w:asciiTheme="minorHAnsi" w:hAnsiTheme="minorHAnsi" w:cstheme="minorHAnsi"/>
          <w:color w:val="2F5496" w:themeColor="accent1" w:themeShade="BF"/>
          <w:u w:val="single"/>
          <w:vertAlign w:val="superscript"/>
        </w:rPr>
        <w:t xml:space="preserve">era </w:t>
      </w:r>
      <w:r w:rsidRPr="0037196D">
        <w:rPr>
          <w:rFonts w:asciiTheme="minorHAnsi" w:hAnsiTheme="minorHAnsi" w:cstheme="minorHAnsi"/>
          <w:color w:val="2F5496" w:themeColor="accent1" w:themeShade="BF"/>
          <w:u w:val="single"/>
        </w:rPr>
        <w:t>Etapa</w:t>
      </w:r>
      <w:bookmarkEnd w:id="3"/>
      <w:r w:rsidR="0037196D" w:rsidRPr="0037196D">
        <w:rPr>
          <w:rFonts w:asciiTheme="minorHAnsi" w:hAnsiTheme="minorHAnsi" w:cstheme="minorHAnsi"/>
          <w:color w:val="2F5496" w:themeColor="accent1" w:themeShade="BF"/>
          <w:u w:val="single"/>
        </w:rPr>
        <w:t xml:space="preserve"> (Inversión M$16.371.000 millones)</w:t>
      </w:r>
    </w:p>
    <w:p w14:paraId="4DD61BFE" w14:textId="77777777" w:rsidR="00CA6CE6" w:rsidRPr="0037196D" w:rsidRDefault="00CA6CE6" w:rsidP="0037196D">
      <w:pPr>
        <w:autoSpaceDE w:val="0"/>
        <w:autoSpaceDN w:val="0"/>
        <w:adjustRightInd w:val="0"/>
        <w:spacing w:after="0" w:line="276" w:lineRule="auto"/>
        <w:jc w:val="both"/>
        <w:rPr>
          <w:rFonts w:cstheme="minorHAnsi"/>
          <w:color w:val="000000"/>
        </w:rPr>
      </w:pPr>
      <w:r w:rsidRPr="0037196D">
        <w:rPr>
          <w:rFonts w:cstheme="minorHAnsi"/>
          <w:color w:val="000000"/>
        </w:rPr>
        <w:t xml:space="preserve">El Parque Metropolitano Sur Cerro Chena es una iniciativa que permite proteger este estratégico lugar y desarrollar para la zona sur de Santiago un gran espacio cultural, deportivo y recreacional. Este parque, </w:t>
      </w:r>
      <w:r w:rsidRPr="0037196D">
        <w:rPr>
          <w:rFonts w:cstheme="minorHAnsi"/>
        </w:rPr>
        <w:t>con 58 hectáreas</w:t>
      </w:r>
      <w:r w:rsidRPr="0037196D">
        <w:rPr>
          <w:rFonts w:cstheme="minorHAnsi"/>
          <w:b/>
          <w:bCs/>
        </w:rPr>
        <w:t xml:space="preserve"> </w:t>
      </w:r>
      <w:r w:rsidRPr="0037196D">
        <w:rPr>
          <w:rFonts w:cstheme="minorHAnsi"/>
        </w:rPr>
        <w:t>de propiedad fiscal,</w:t>
      </w:r>
      <w:r w:rsidRPr="0037196D">
        <w:rPr>
          <w:rFonts w:cstheme="minorHAnsi"/>
          <w:color w:val="000000"/>
        </w:rPr>
        <w:t xml:space="preserve"> viene a disminuir una de las grandes muestras de desigualdad territorial en Santiago: la desproporción de áreas verdes entre las comunas más ricas y las más pobres. Se trata de un lugar con un fuerte componente histórico, ecológico y cultural, que complementa de excelente manera la red de parques urbanos ya existentes. </w:t>
      </w:r>
    </w:p>
    <w:p w14:paraId="04DC942C" w14:textId="77777777" w:rsidR="0037196D" w:rsidRDefault="0037196D" w:rsidP="0037196D">
      <w:pPr>
        <w:autoSpaceDE w:val="0"/>
        <w:autoSpaceDN w:val="0"/>
        <w:adjustRightInd w:val="0"/>
        <w:spacing w:after="0" w:line="276" w:lineRule="auto"/>
        <w:jc w:val="both"/>
        <w:rPr>
          <w:rFonts w:cstheme="minorHAnsi"/>
        </w:rPr>
      </w:pPr>
    </w:p>
    <w:p w14:paraId="607E71E3" w14:textId="0F13C797" w:rsidR="00CA6CE6" w:rsidRPr="0037196D" w:rsidRDefault="00CA6CE6" w:rsidP="0037196D">
      <w:pPr>
        <w:autoSpaceDE w:val="0"/>
        <w:autoSpaceDN w:val="0"/>
        <w:adjustRightInd w:val="0"/>
        <w:spacing w:after="0" w:line="276" w:lineRule="auto"/>
        <w:jc w:val="both"/>
        <w:rPr>
          <w:rFonts w:cstheme="minorHAnsi"/>
          <w:color w:val="000000"/>
        </w:rPr>
      </w:pPr>
      <w:r w:rsidRPr="0037196D">
        <w:rPr>
          <w:rFonts w:cstheme="minorHAnsi"/>
        </w:rPr>
        <w:t>La primera etapa</w:t>
      </w:r>
      <w:r w:rsidRPr="0037196D">
        <w:rPr>
          <w:rFonts w:cstheme="minorHAnsi"/>
          <w:b/>
          <w:bCs/>
        </w:rPr>
        <w:t xml:space="preserve"> </w:t>
      </w:r>
      <w:r w:rsidRPr="0037196D">
        <w:rPr>
          <w:rFonts w:cstheme="minorHAnsi"/>
        </w:rPr>
        <w:t>-ya en desarrollo- contempla obras civiles que mejoran las áreas verdes, la construcción de áreas recreativas, deportivas y senderos exploratorios, zonas de picnic, habilitación de cumbres, ciclovías, forestación, una nueva laguna, explanada cívica, mobiliario y equipamiento.</w:t>
      </w:r>
      <w:r w:rsidRPr="0037196D">
        <w:rPr>
          <w:rFonts w:cstheme="minorHAnsi"/>
          <w:color w:val="000000"/>
        </w:rPr>
        <w:t xml:space="preserve"> </w:t>
      </w:r>
      <w:r>
        <w:t>Tiene una inversión de dieciséis mil 372 millones de pesos.</w:t>
      </w:r>
    </w:p>
    <w:p w14:paraId="742F6F58" w14:textId="77777777" w:rsidR="0037196D" w:rsidRDefault="0037196D" w:rsidP="0037196D">
      <w:pPr>
        <w:autoSpaceDE w:val="0"/>
        <w:autoSpaceDN w:val="0"/>
        <w:adjustRightInd w:val="0"/>
        <w:spacing w:after="0" w:line="276" w:lineRule="auto"/>
        <w:jc w:val="both"/>
      </w:pPr>
    </w:p>
    <w:p w14:paraId="5B56C60D" w14:textId="5C639A9D" w:rsidR="00CA6CE6" w:rsidRPr="007724ED" w:rsidRDefault="00CA6CE6" w:rsidP="0037196D">
      <w:pPr>
        <w:autoSpaceDE w:val="0"/>
        <w:autoSpaceDN w:val="0"/>
        <w:adjustRightInd w:val="0"/>
        <w:spacing w:after="0" w:line="276" w:lineRule="auto"/>
        <w:jc w:val="both"/>
      </w:pPr>
      <w:r>
        <w:t xml:space="preserve">En tanto, </w:t>
      </w:r>
      <w:r w:rsidRPr="0037196D">
        <w:rPr>
          <w:color w:val="000000" w:themeColor="text1"/>
        </w:rPr>
        <w:t>durante 2020 se adquirió el terreno para la construcción de un parque comunal para la rural comunal de María Pinto. Se debería presentar durante este 2021 al Consejo Regional para la aprobación de los recursos y dar inicio a las obras.</w:t>
      </w:r>
    </w:p>
    <w:p w14:paraId="2AF8C175" w14:textId="77777777" w:rsidR="00CA6CE6" w:rsidRPr="0037196D" w:rsidRDefault="00CA6CE6" w:rsidP="0037196D">
      <w:pPr>
        <w:spacing w:after="0" w:line="276" w:lineRule="auto"/>
        <w:jc w:val="both"/>
        <w:rPr>
          <w:rFonts w:cstheme="minorHAnsi"/>
        </w:rPr>
      </w:pPr>
    </w:p>
    <w:p w14:paraId="24226C17" w14:textId="77777777" w:rsidR="00CA6CE6" w:rsidRPr="00E7273E" w:rsidRDefault="00CA6CE6" w:rsidP="0037196D">
      <w:pPr>
        <w:pStyle w:val="Ttulo3"/>
        <w:spacing w:before="0" w:line="276" w:lineRule="auto"/>
        <w:jc w:val="both"/>
        <w:rPr>
          <w:rFonts w:cstheme="majorHAnsi"/>
          <w:color w:val="2F5496" w:themeColor="accent1" w:themeShade="BF"/>
          <w:sz w:val="26"/>
          <w:szCs w:val="26"/>
          <w:u w:val="single"/>
        </w:rPr>
      </w:pPr>
      <w:bookmarkStart w:id="4" w:name="_Toc44877789"/>
      <w:r w:rsidRPr="00E7273E">
        <w:rPr>
          <w:rFonts w:cstheme="majorHAnsi"/>
          <w:color w:val="2F5496" w:themeColor="accent1" w:themeShade="BF"/>
          <w:sz w:val="26"/>
          <w:szCs w:val="26"/>
          <w:u w:val="single"/>
        </w:rPr>
        <w:t>Mapocho Río</w:t>
      </w:r>
      <w:bookmarkEnd w:id="4"/>
    </w:p>
    <w:p w14:paraId="579965E0" w14:textId="77777777" w:rsidR="00CA6CE6" w:rsidRPr="00A22D1A" w:rsidRDefault="00CA6CE6" w:rsidP="0037196D">
      <w:pPr>
        <w:pStyle w:val="Default"/>
        <w:spacing w:line="276" w:lineRule="auto"/>
        <w:jc w:val="both"/>
        <w:rPr>
          <w:rFonts w:asciiTheme="minorHAnsi" w:hAnsiTheme="minorHAnsi" w:cstheme="minorHAnsi"/>
          <w:sz w:val="22"/>
          <w:szCs w:val="22"/>
        </w:rPr>
      </w:pPr>
      <w:r w:rsidRPr="00A22D1A">
        <w:rPr>
          <w:rFonts w:asciiTheme="minorHAnsi" w:hAnsiTheme="minorHAnsi" w:cstheme="minorHAnsi"/>
          <w:sz w:val="22"/>
          <w:szCs w:val="22"/>
        </w:rPr>
        <w:t xml:space="preserve">El proyecto </w:t>
      </w:r>
      <w:r>
        <w:rPr>
          <w:rFonts w:asciiTheme="minorHAnsi" w:hAnsiTheme="minorHAnsi" w:cstheme="minorHAnsi"/>
          <w:sz w:val="22"/>
          <w:szCs w:val="22"/>
        </w:rPr>
        <w:t xml:space="preserve">de </w:t>
      </w:r>
      <w:r w:rsidRPr="00A22D1A">
        <w:rPr>
          <w:rFonts w:asciiTheme="minorHAnsi" w:hAnsiTheme="minorHAnsi" w:cstheme="minorHAnsi"/>
          <w:sz w:val="22"/>
          <w:szCs w:val="22"/>
        </w:rPr>
        <w:t xml:space="preserve">parque </w:t>
      </w:r>
      <w:r>
        <w:rPr>
          <w:rFonts w:asciiTheme="minorHAnsi" w:hAnsiTheme="minorHAnsi" w:cstheme="minorHAnsi"/>
          <w:sz w:val="22"/>
          <w:szCs w:val="22"/>
        </w:rPr>
        <w:t>“</w:t>
      </w:r>
      <w:r w:rsidRPr="00A22D1A">
        <w:rPr>
          <w:rFonts w:asciiTheme="minorHAnsi" w:hAnsiTheme="minorHAnsi" w:cstheme="minorHAnsi"/>
          <w:sz w:val="22"/>
          <w:szCs w:val="22"/>
        </w:rPr>
        <w:t>Mapocho Río</w:t>
      </w:r>
      <w:r>
        <w:rPr>
          <w:rFonts w:asciiTheme="minorHAnsi" w:hAnsiTheme="minorHAnsi" w:cstheme="minorHAnsi"/>
          <w:sz w:val="22"/>
          <w:szCs w:val="22"/>
        </w:rPr>
        <w:t xml:space="preserve">” </w:t>
      </w:r>
      <w:r w:rsidRPr="00A22D1A">
        <w:rPr>
          <w:rFonts w:asciiTheme="minorHAnsi" w:hAnsiTheme="minorHAnsi" w:cstheme="minorHAnsi"/>
          <w:sz w:val="22"/>
          <w:szCs w:val="22"/>
        </w:rPr>
        <w:t xml:space="preserve">se emplaza en la ribera sur del </w:t>
      </w:r>
      <w:r>
        <w:rPr>
          <w:rFonts w:asciiTheme="minorHAnsi" w:hAnsiTheme="minorHAnsi" w:cstheme="minorHAnsi"/>
          <w:sz w:val="22"/>
          <w:szCs w:val="22"/>
        </w:rPr>
        <w:t>histórico río</w:t>
      </w:r>
      <w:r w:rsidRPr="00A22D1A">
        <w:rPr>
          <w:rFonts w:asciiTheme="minorHAnsi" w:hAnsiTheme="minorHAnsi" w:cstheme="minorHAnsi"/>
          <w:sz w:val="22"/>
          <w:szCs w:val="22"/>
        </w:rPr>
        <w:t xml:space="preserve">, </w:t>
      </w:r>
      <w:r>
        <w:rPr>
          <w:rFonts w:asciiTheme="minorHAnsi" w:hAnsiTheme="minorHAnsi" w:cstheme="minorHAnsi"/>
          <w:sz w:val="22"/>
          <w:szCs w:val="22"/>
        </w:rPr>
        <w:t>beneficiando directamente a</w:t>
      </w:r>
      <w:r w:rsidRPr="00A22D1A">
        <w:rPr>
          <w:rFonts w:asciiTheme="minorHAnsi" w:hAnsiTheme="minorHAnsi" w:cstheme="minorHAnsi"/>
          <w:sz w:val="22"/>
          <w:szCs w:val="22"/>
        </w:rPr>
        <w:t xml:space="preserve"> </w:t>
      </w:r>
      <w:r>
        <w:rPr>
          <w:rFonts w:asciiTheme="minorHAnsi" w:hAnsiTheme="minorHAnsi" w:cstheme="minorHAnsi"/>
          <w:sz w:val="22"/>
          <w:szCs w:val="22"/>
        </w:rPr>
        <w:t>má</w:t>
      </w:r>
      <w:r w:rsidRPr="00A22D1A">
        <w:rPr>
          <w:rFonts w:asciiTheme="minorHAnsi" w:hAnsiTheme="minorHAnsi" w:cstheme="minorHAnsi"/>
          <w:sz w:val="22"/>
          <w:szCs w:val="22"/>
        </w:rPr>
        <w:t xml:space="preserve">s </w:t>
      </w:r>
      <w:r>
        <w:rPr>
          <w:rFonts w:asciiTheme="minorHAnsi" w:hAnsiTheme="minorHAnsi" w:cstheme="minorHAnsi"/>
          <w:sz w:val="22"/>
          <w:szCs w:val="22"/>
        </w:rPr>
        <w:t xml:space="preserve">de 180 mil habitantes de las </w:t>
      </w:r>
      <w:r w:rsidRPr="00A22D1A">
        <w:rPr>
          <w:rFonts w:asciiTheme="minorHAnsi" w:hAnsiTheme="minorHAnsi" w:cstheme="minorHAnsi"/>
          <w:sz w:val="22"/>
          <w:szCs w:val="22"/>
        </w:rPr>
        <w:t>comunas de Cerro Navia</w:t>
      </w:r>
      <w:r>
        <w:rPr>
          <w:rFonts w:asciiTheme="minorHAnsi" w:hAnsiTheme="minorHAnsi" w:cstheme="minorHAnsi"/>
          <w:sz w:val="22"/>
          <w:szCs w:val="22"/>
        </w:rPr>
        <w:t xml:space="preserve">, </w:t>
      </w:r>
      <w:r w:rsidRPr="00A22D1A">
        <w:rPr>
          <w:rFonts w:asciiTheme="minorHAnsi" w:hAnsiTheme="minorHAnsi" w:cstheme="minorHAnsi"/>
          <w:sz w:val="22"/>
          <w:szCs w:val="22"/>
        </w:rPr>
        <w:t>Quinta Normal</w:t>
      </w:r>
      <w:r>
        <w:rPr>
          <w:rFonts w:asciiTheme="minorHAnsi" w:hAnsiTheme="minorHAnsi" w:cstheme="minorHAnsi"/>
          <w:sz w:val="22"/>
          <w:szCs w:val="22"/>
        </w:rPr>
        <w:t xml:space="preserve"> y Renca. </w:t>
      </w:r>
      <w:r w:rsidRPr="00A22D1A">
        <w:rPr>
          <w:rFonts w:asciiTheme="minorHAnsi" w:hAnsiTheme="minorHAnsi" w:cstheme="minorHAnsi"/>
          <w:sz w:val="22"/>
          <w:szCs w:val="22"/>
        </w:rPr>
        <w:t>Se conc</w:t>
      </w:r>
      <w:r>
        <w:rPr>
          <w:rFonts w:asciiTheme="minorHAnsi" w:hAnsiTheme="minorHAnsi" w:cstheme="minorHAnsi"/>
          <w:sz w:val="22"/>
          <w:szCs w:val="22"/>
        </w:rPr>
        <w:t>ibe</w:t>
      </w:r>
      <w:r w:rsidRPr="00A22D1A">
        <w:rPr>
          <w:rFonts w:asciiTheme="minorHAnsi" w:hAnsiTheme="minorHAnsi" w:cstheme="minorHAnsi"/>
          <w:sz w:val="22"/>
          <w:szCs w:val="22"/>
        </w:rPr>
        <w:t xml:space="preserve"> como un espacio verde</w:t>
      </w:r>
      <w:r>
        <w:rPr>
          <w:rFonts w:asciiTheme="minorHAnsi" w:hAnsiTheme="minorHAnsi" w:cstheme="minorHAnsi"/>
          <w:sz w:val="22"/>
          <w:szCs w:val="22"/>
        </w:rPr>
        <w:t xml:space="preserve"> de 52 hectáreas</w:t>
      </w:r>
      <w:r w:rsidRPr="00A22D1A">
        <w:rPr>
          <w:rFonts w:asciiTheme="minorHAnsi" w:hAnsiTheme="minorHAnsi" w:cstheme="minorHAnsi"/>
          <w:sz w:val="22"/>
          <w:szCs w:val="22"/>
        </w:rPr>
        <w:t xml:space="preserve">, </w:t>
      </w:r>
      <w:r>
        <w:rPr>
          <w:rFonts w:asciiTheme="minorHAnsi" w:hAnsiTheme="minorHAnsi" w:cstheme="minorHAnsi"/>
          <w:sz w:val="22"/>
          <w:szCs w:val="22"/>
        </w:rPr>
        <w:t>con</w:t>
      </w:r>
      <w:r w:rsidRPr="00A22D1A">
        <w:rPr>
          <w:rFonts w:asciiTheme="minorHAnsi" w:hAnsiTheme="minorHAnsi" w:cstheme="minorHAnsi"/>
          <w:sz w:val="22"/>
          <w:szCs w:val="22"/>
        </w:rPr>
        <w:t xml:space="preserve"> integración social</w:t>
      </w:r>
      <w:r>
        <w:rPr>
          <w:rFonts w:asciiTheme="minorHAnsi" w:hAnsiTheme="minorHAnsi" w:cstheme="minorHAnsi"/>
          <w:sz w:val="22"/>
          <w:szCs w:val="22"/>
        </w:rPr>
        <w:t>, y</w:t>
      </w:r>
      <w:r w:rsidRPr="00A22D1A">
        <w:rPr>
          <w:rFonts w:asciiTheme="minorHAnsi" w:hAnsiTheme="minorHAnsi" w:cstheme="minorHAnsi"/>
          <w:sz w:val="22"/>
          <w:szCs w:val="22"/>
        </w:rPr>
        <w:t xml:space="preserve"> con equipamientos deportivos, recreativos y culturales</w:t>
      </w:r>
      <w:r>
        <w:rPr>
          <w:rFonts w:asciiTheme="minorHAnsi" w:hAnsiTheme="minorHAnsi" w:cstheme="minorHAnsi"/>
          <w:sz w:val="22"/>
          <w:szCs w:val="22"/>
        </w:rPr>
        <w:t xml:space="preserve">. El </w:t>
      </w:r>
      <w:r w:rsidRPr="00A22D1A">
        <w:rPr>
          <w:rFonts w:asciiTheme="minorHAnsi" w:hAnsiTheme="minorHAnsi" w:cstheme="minorHAnsi"/>
          <w:sz w:val="22"/>
          <w:szCs w:val="22"/>
        </w:rPr>
        <w:t>área es parte del sistema lineal de parque a escala metropolitana</w:t>
      </w:r>
      <w:r>
        <w:rPr>
          <w:rFonts w:asciiTheme="minorHAnsi" w:hAnsiTheme="minorHAnsi" w:cstheme="minorHAnsi"/>
          <w:sz w:val="22"/>
          <w:szCs w:val="22"/>
        </w:rPr>
        <w:t>,</w:t>
      </w:r>
      <w:r w:rsidRPr="00A22D1A">
        <w:rPr>
          <w:rFonts w:asciiTheme="minorHAnsi" w:hAnsiTheme="minorHAnsi" w:cstheme="minorHAnsi"/>
          <w:sz w:val="22"/>
          <w:szCs w:val="22"/>
        </w:rPr>
        <w:t xml:space="preserve"> </w:t>
      </w:r>
      <w:r>
        <w:rPr>
          <w:rFonts w:asciiTheme="minorHAnsi" w:hAnsiTheme="minorHAnsi" w:cstheme="minorHAnsi"/>
          <w:sz w:val="22"/>
          <w:szCs w:val="22"/>
        </w:rPr>
        <w:t>que con un</w:t>
      </w:r>
      <w:r w:rsidRPr="00A22D1A">
        <w:rPr>
          <w:rFonts w:asciiTheme="minorHAnsi" w:hAnsiTheme="minorHAnsi" w:cstheme="minorHAnsi"/>
          <w:sz w:val="22"/>
          <w:szCs w:val="22"/>
        </w:rPr>
        <w:t xml:space="preserve"> tota</w:t>
      </w:r>
      <w:r>
        <w:rPr>
          <w:rFonts w:asciiTheme="minorHAnsi" w:hAnsiTheme="minorHAnsi" w:cstheme="minorHAnsi"/>
          <w:sz w:val="22"/>
          <w:szCs w:val="22"/>
        </w:rPr>
        <w:t>l</w:t>
      </w:r>
      <w:r w:rsidRPr="00A22D1A">
        <w:rPr>
          <w:rFonts w:asciiTheme="minorHAnsi" w:hAnsiTheme="minorHAnsi" w:cstheme="minorHAnsi"/>
          <w:sz w:val="22"/>
          <w:szCs w:val="22"/>
        </w:rPr>
        <w:t xml:space="preserve"> de 230 has</w:t>
      </w:r>
      <w:r>
        <w:rPr>
          <w:rFonts w:asciiTheme="minorHAnsi" w:hAnsiTheme="minorHAnsi" w:cstheme="minorHAnsi"/>
          <w:sz w:val="22"/>
          <w:szCs w:val="22"/>
        </w:rPr>
        <w:t xml:space="preserve"> va a lo</w:t>
      </w:r>
      <w:r w:rsidRPr="00A22D1A">
        <w:rPr>
          <w:rFonts w:asciiTheme="minorHAnsi" w:hAnsiTheme="minorHAnsi" w:cstheme="minorHAnsi"/>
          <w:sz w:val="22"/>
          <w:szCs w:val="22"/>
        </w:rPr>
        <w:t xml:space="preserve"> largo de 34 </w:t>
      </w:r>
      <w:r>
        <w:rPr>
          <w:rFonts w:asciiTheme="minorHAnsi" w:hAnsiTheme="minorHAnsi" w:cstheme="minorHAnsi"/>
          <w:sz w:val="22"/>
          <w:szCs w:val="22"/>
        </w:rPr>
        <w:t>km</w:t>
      </w:r>
      <w:r w:rsidRPr="00A22D1A">
        <w:rPr>
          <w:rFonts w:asciiTheme="minorHAnsi" w:hAnsiTheme="minorHAnsi" w:cstheme="minorHAnsi"/>
          <w:sz w:val="22"/>
          <w:szCs w:val="22"/>
        </w:rPr>
        <w:t xml:space="preserve"> </w:t>
      </w:r>
      <w:r>
        <w:rPr>
          <w:rFonts w:asciiTheme="minorHAnsi" w:hAnsiTheme="minorHAnsi" w:cstheme="minorHAnsi"/>
          <w:sz w:val="22"/>
          <w:szCs w:val="22"/>
        </w:rPr>
        <w:t xml:space="preserve">en </w:t>
      </w:r>
      <w:r w:rsidRPr="00A22D1A">
        <w:rPr>
          <w:rFonts w:asciiTheme="minorHAnsi" w:hAnsiTheme="minorHAnsi" w:cstheme="minorHAnsi"/>
          <w:sz w:val="22"/>
          <w:szCs w:val="22"/>
        </w:rPr>
        <w:t xml:space="preserve">el </w:t>
      </w:r>
      <w:r>
        <w:rPr>
          <w:rFonts w:asciiTheme="minorHAnsi" w:hAnsiTheme="minorHAnsi" w:cstheme="minorHAnsi"/>
          <w:sz w:val="22"/>
          <w:szCs w:val="22"/>
        </w:rPr>
        <w:t>Rí</w:t>
      </w:r>
      <w:r w:rsidRPr="00A22D1A">
        <w:rPr>
          <w:rFonts w:asciiTheme="minorHAnsi" w:hAnsiTheme="minorHAnsi" w:cstheme="minorHAnsi"/>
          <w:sz w:val="22"/>
          <w:szCs w:val="22"/>
        </w:rPr>
        <w:t>o Mapocho Urbano.</w:t>
      </w:r>
    </w:p>
    <w:p w14:paraId="4441F435" w14:textId="77777777" w:rsidR="00CA6CE6" w:rsidRPr="0037196D" w:rsidRDefault="00CA6CE6" w:rsidP="0037196D">
      <w:pPr>
        <w:pStyle w:val="Default"/>
        <w:spacing w:line="276" w:lineRule="auto"/>
        <w:ind w:left="360"/>
        <w:jc w:val="both"/>
        <w:rPr>
          <w:rFonts w:asciiTheme="minorHAnsi" w:hAnsiTheme="minorHAnsi" w:cstheme="minorHAnsi"/>
          <w:sz w:val="22"/>
          <w:szCs w:val="22"/>
        </w:rPr>
      </w:pPr>
      <w:r w:rsidRPr="0037196D">
        <w:rPr>
          <w:rFonts w:asciiTheme="minorHAnsi" w:hAnsiTheme="minorHAnsi" w:cstheme="minorHAnsi"/>
          <w:sz w:val="22"/>
          <w:szCs w:val="22"/>
        </w:rPr>
        <w:t xml:space="preserve">Dentro de la intervención destacan los 1.500 m2 de plazas con juegos de agua; los 4.800 m2 de plazas infantiles para distintos rangos etarios; las canchas de fútbol con sus respectivos servicios; el patinódromo de velocidad; cinco </w:t>
      </w:r>
      <w:proofErr w:type="spellStart"/>
      <w:r w:rsidRPr="0037196D">
        <w:rPr>
          <w:rFonts w:asciiTheme="minorHAnsi" w:hAnsiTheme="minorHAnsi" w:cstheme="minorHAnsi"/>
          <w:sz w:val="22"/>
          <w:szCs w:val="22"/>
        </w:rPr>
        <w:t>multicanchas</w:t>
      </w:r>
      <w:proofErr w:type="spellEnd"/>
      <w:r w:rsidRPr="0037196D">
        <w:rPr>
          <w:rFonts w:asciiTheme="minorHAnsi" w:hAnsiTheme="minorHAnsi" w:cstheme="minorHAnsi"/>
          <w:sz w:val="22"/>
          <w:szCs w:val="22"/>
        </w:rPr>
        <w:t xml:space="preserve"> (para </w:t>
      </w:r>
      <w:proofErr w:type="spellStart"/>
      <w:r w:rsidRPr="0037196D">
        <w:rPr>
          <w:rFonts w:asciiTheme="minorHAnsi" w:hAnsiTheme="minorHAnsi" w:cstheme="minorHAnsi"/>
          <w:sz w:val="22"/>
          <w:szCs w:val="22"/>
        </w:rPr>
        <w:t>baby</w:t>
      </w:r>
      <w:proofErr w:type="spellEnd"/>
      <w:r w:rsidRPr="0037196D">
        <w:rPr>
          <w:rFonts w:asciiTheme="minorHAnsi" w:hAnsiTheme="minorHAnsi" w:cstheme="minorHAnsi"/>
          <w:sz w:val="22"/>
          <w:szCs w:val="22"/>
        </w:rPr>
        <w:t xml:space="preserve"> fútbol, voleibol, básquetbol y tenis); dos </w:t>
      </w:r>
      <w:proofErr w:type="spellStart"/>
      <w:r w:rsidRPr="0037196D">
        <w:rPr>
          <w:rFonts w:asciiTheme="minorHAnsi" w:hAnsiTheme="minorHAnsi" w:cstheme="minorHAnsi"/>
          <w:sz w:val="22"/>
          <w:szCs w:val="22"/>
        </w:rPr>
        <w:t>skateparks</w:t>
      </w:r>
      <w:proofErr w:type="spellEnd"/>
      <w:r w:rsidRPr="0037196D">
        <w:rPr>
          <w:rFonts w:asciiTheme="minorHAnsi" w:hAnsiTheme="minorHAnsi" w:cstheme="minorHAnsi"/>
          <w:sz w:val="22"/>
          <w:szCs w:val="22"/>
        </w:rPr>
        <w:t>; las explanadas verdes y zonas de vegetación para recreación; sectores de escalada, miradores y los taludes para la observación del paisaje y presentaciones culturales, entre otras. El monto de inversión alcanza los $3 mil millones.</w:t>
      </w:r>
    </w:p>
    <w:p w14:paraId="5DF74E84" w14:textId="77777777" w:rsidR="00CA6CE6" w:rsidRPr="0037196D" w:rsidRDefault="00CA6CE6" w:rsidP="0037196D">
      <w:pPr>
        <w:pStyle w:val="Default"/>
        <w:spacing w:line="276" w:lineRule="auto"/>
        <w:ind w:left="360"/>
        <w:jc w:val="both"/>
        <w:rPr>
          <w:rFonts w:asciiTheme="minorHAnsi" w:hAnsiTheme="minorHAnsi" w:cstheme="minorHAnsi"/>
          <w:sz w:val="22"/>
          <w:szCs w:val="22"/>
        </w:rPr>
      </w:pPr>
      <w:r w:rsidRPr="0037196D">
        <w:rPr>
          <w:rFonts w:asciiTheme="minorHAnsi" w:hAnsiTheme="minorHAnsi" w:cstheme="minorHAnsi"/>
          <w:sz w:val="22"/>
          <w:szCs w:val="22"/>
        </w:rPr>
        <w:t>La primera etapa de Parque Mapocho Río, desde el Parque La Familia al Puente Los Suspiros, debiese estar concluida durante el primer semestre de 2022.</w:t>
      </w:r>
    </w:p>
    <w:p w14:paraId="5F542E63" w14:textId="77777777" w:rsidR="00CA6CE6" w:rsidRPr="0037196D" w:rsidRDefault="00CA6CE6" w:rsidP="0037196D">
      <w:pPr>
        <w:spacing w:after="0" w:line="276" w:lineRule="auto"/>
        <w:jc w:val="both"/>
      </w:pPr>
    </w:p>
    <w:p w14:paraId="4AA76F03" w14:textId="77777777" w:rsidR="00CA6CE6" w:rsidRPr="00E7273E" w:rsidRDefault="00CA6CE6" w:rsidP="0037196D">
      <w:pPr>
        <w:pStyle w:val="Ttulo3"/>
        <w:spacing w:before="0" w:line="276" w:lineRule="auto"/>
        <w:jc w:val="both"/>
        <w:rPr>
          <w:rFonts w:cstheme="majorHAnsi"/>
          <w:color w:val="2F5496" w:themeColor="accent1" w:themeShade="BF"/>
          <w:sz w:val="26"/>
          <w:szCs w:val="26"/>
          <w:u w:val="single"/>
        </w:rPr>
      </w:pPr>
      <w:bookmarkStart w:id="5" w:name="_Toc44877786"/>
      <w:r w:rsidRPr="00E7273E">
        <w:rPr>
          <w:rFonts w:cstheme="majorHAnsi"/>
          <w:color w:val="2F5496" w:themeColor="accent1" w:themeShade="BF"/>
          <w:sz w:val="26"/>
          <w:szCs w:val="26"/>
          <w:u w:val="single"/>
        </w:rPr>
        <w:t>Parque Lo Errazuriz</w:t>
      </w:r>
      <w:bookmarkEnd w:id="5"/>
      <w:r w:rsidRPr="00E7273E">
        <w:rPr>
          <w:rFonts w:cstheme="majorHAnsi"/>
          <w:color w:val="2F5496" w:themeColor="accent1" w:themeShade="BF"/>
          <w:sz w:val="26"/>
          <w:szCs w:val="26"/>
          <w:u w:val="single"/>
        </w:rPr>
        <w:t xml:space="preserve"> </w:t>
      </w:r>
    </w:p>
    <w:p w14:paraId="145A9E95" w14:textId="77777777" w:rsidR="00CA6CE6" w:rsidRDefault="00CA6CE6" w:rsidP="0037196D">
      <w:pPr>
        <w:pStyle w:val="Default"/>
        <w:spacing w:line="276" w:lineRule="auto"/>
        <w:jc w:val="both"/>
        <w:rPr>
          <w:rFonts w:asciiTheme="minorHAnsi" w:hAnsiTheme="minorHAnsi" w:cstheme="minorHAnsi"/>
          <w:sz w:val="22"/>
          <w:szCs w:val="22"/>
        </w:rPr>
      </w:pPr>
      <w:r>
        <w:rPr>
          <w:rFonts w:asciiTheme="minorHAnsi" w:hAnsiTheme="minorHAnsi" w:cstheme="minorHAnsi"/>
          <w:sz w:val="22"/>
          <w:szCs w:val="22"/>
        </w:rPr>
        <w:t>El ex vertedero</w:t>
      </w:r>
      <w:r w:rsidRPr="00A22D1A">
        <w:rPr>
          <w:rFonts w:asciiTheme="minorHAnsi" w:hAnsiTheme="minorHAnsi" w:cstheme="minorHAnsi"/>
          <w:sz w:val="22"/>
          <w:szCs w:val="22"/>
        </w:rPr>
        <w:t xml:space="preserve"> “Lo Errázuriz”</w:t>
      </w:r>
      <w:r>
        <w:rPr>
          <w:rFonts w:asciiTheme="minorHAnsi" w:hAnsiTheme="minorHAnsi" w:cstheme="minorHAnsi"/>
          <w:sz w:val="22"/>
          <w:szCs w:val="22"/>
        </w:rPr>
        <w:t xml:space="preserve"> funcionó hasta 1995 </w:t>
      </w:r>
      <w:r w:rsidRPr="00A22D1A">
        <w:rPr>
          <w:rFonts w:asciiTheme="minorHAnsi" w:hAnsiTheme="minorHAnsi" w:cstheme="minorHAnsi"/>
          <w:sz w:val="22"/>
          <w:szCs w:val="22"/>
        </w:rPr>
        <w:t xml:space="preserve">en </w:t>
      </w:r>
      <w:r>
        <w:rPr>
          <w:rFonts w:asciiTheme="minorHAnsi" w:hAnsiTheme="minorHAnsi" w:cstheme="minorHAnsi"/>
          <w:sz w:val="22"/>
          <w:szCs w:val="22"/>
        </w:rPr>
        <w:t xml:space="preserve">la comuna </w:t>
      </w:r>
      <w:r w:rsidRPr="00A22D1A">
        <w:rPr>
          <w:rFonts w:asciiTheme="minorHAnsi" w:hAnsiTheme="minorHAnsi" w:cstheme="minorHAnsi"/>
          <w:sz w:val="22"/>
          <w:szCs w:val="22"/>
        </w:rPr>
        <w:t>de Estación Central</w:t>
      </w:r>
      <w:r>
        <w:rPr>
          <w:rFonts w:asciiTheme="minorHAnsi" w:hAnsiTheme="minorHAnsi" w:cstheme="minorHAnsi"/>
          <w:sz w:val="22"/>
          <w:szCs w:val="22"/>
        </w:rPr>
        <w:t xml:space="preserve">. Sin embargo, solo en 2018 se logró la recuperación total de sus 40 hectáreas luego de un largo y complejo </w:t>
      </w:r>
      <w:r w:rsidRPr="00A22D1A">
        <w:rPr>
          <w:rFonts w:asciiTheme="minorHAnsi" w:hAnsiTheme="minorHAnsi" w:cstheme="minorHAnsi"/>
          <w:sz w:val="22"/>
          <w:szCs w:val="22"/>
        </w:rPr>
        <w:t>plan de saneamiento</w:t>
      </w:r>
      <w:r>
        <w:rPr>
          <w:rFonts w:asciiTheme="minorHAnsi" w:hAnsiTheme="minorHAnsi" w:cstheme="minorHAnsi"/>
          <w:sz w:val="22"/>
          <w:szCs w:val="22"/>
        </w:rPr>
        <w:t>,</w:t>
      </w:r>
      <w:r w:rsidRPr="00A22D1A">
        <w:rPr>
          <w:rFonts w:asciiTheme="minorHAnsi" w:hAnsiTheme="minorHAnsi" w:cstheme="minorHAnsi"/>
          <w:sz w:val="22"/>
          <w:szCs w:val="22"/>
        </w:rPr>
        <w:t xml:space="preserve"> </w:t>
      </w:r>
      <w:r>
        <w:rPr>
          <w:rFonts w:asciiTheme="minorHAnsi" w:hAnsiTheme="minorHAnsi" w:cstheme="minorHAnsi"/>
          <w:sz w:val="22"/>
          <w:szCs w:val="22"/>
        </w:rPr>
        <w:t>que consideró</w:t>
      </w:r>
      <w:r w:rsidRPr="00A22D1A">
        <w:rPr>
          <w:rFonts w:asciiTheme="minorHAnsi" w:hAnsiTheme="minorHAnsi" w:cstheme="minorHAnsi"/>
          <w:sz w:val="22"/>
          <w:szCs w:val="22"/>
        </w:rPr>
        <w:t xml:space="preserve"> manejo y control de gases y lixiviados, control de los asentamientos, manejo de aguas lluvias y creación de áreas verdes.</w:t>
      </w:r>
      <w:r>
        <w:rPr>
          <w:rFonts w:asciiTheme="minorHAnsi" w:hAnsiTheme="minorHAnsi" w:cstheme="minorHAnsi"/>
          <w:sz w:val="22"/>
          <w:szCs w:val="22"/>
        </w:rPr>
        <w:t xml:space="preserve"> El GORE, propietario del 75% de los terrenos, compró las 10 has pertenecientes al municipio de Estación Central e inició un proceso de conversión del lugar. </w:t>
      </w:r>
    </w:p>
    <w:p w14:paraId="70AD62B5" w14:textId="77777777" w:rsidR="00CA6CE6" w:rsidRPr="00270FA9" w:rsidRDefault="00CA6CE6" w:rsidP="0037196D">
      <w:pPr>
        <w:pStyle w:val="Default"/>
        <w:spacing w:line="276" w:lineRule="auto"/>
        <w:jc w:val="both"/>
        <w:rPr>
          <w:rFonts w:asciiTheme="minorHAnsi" w:hAnsiTheme="minorHAnsi" w:cstheme="minorHAnsi"/>
          <w:sz w:val="22"/>
          <w:szCs w:val="22"/>
        </w:rPr>
      </w:pPr>
      <w:r w:rsidRPr="001878DD">
        <w:rPr>
          <w:rFonts w:asciiTheme="minorHAnsi" w:hAnsiTheme="minorHAnsi"/>
          <w:sz w:val="22"/>
          <w:szCs w:val="22"/>
        </w:rPr>
        <w:t xml:space="preserve">En noviembre de 2019, el proyecto de mejoramiento y ampliación </w:t>
      </w:r>
      <w:r>
        <w:rPr>
          <w:rFonts w:asciiTheme="minorHAnsi" w:hAnsiTheme="minorHAnsi"/>
          <w:sz w:val="22"/>
          <w:szCs w:val="22"/>
        </w:rPr>
        <w:t xml:space="preserve">del </w:t>
      </w:r>
      <w:r w:rsidRPr="001878DD">
        <w:rPr>
          <w:rFonts w:asciiTheme="minorHAnsi" w:hAnsiTheme="minorHAnsi"/>
          <w:sz w:val="22"/>
          <w:szCs w:val="22"/>
        </w:rPr>
        <w:t>Parque Lo Errázuriz inició la elabora</w:t>
      </w:r>
      <w:r>
        <w:rPr>
          <w:rFonts w:asciiTheme="minorHAnsi" w:hAnsiTheme="minorHAnsi"/>
          <w:sz w:val="22"/>
          <w:szCs w:val="22"/>
        </w:rPr>
        <w:t>ción</w:t>
      </w:r>
      <w:r w:rsidRPr="001878DD">
        <w:rPr>
          <w:rFonts w:asciiTheme="minorHAnsi" w:hAnsiTheme="minorHAnsi"/>
          <w:sz w:val="22"/>
          <w:szCs w:val="22"/>
        </w:rPr>
        <w:t xml:space="preserve"> </w:t>
      </w:r>
      <w:r>
        <w:rPr>
          <w:rFonts w:asciiTheme="minorHAnsi" w:hAnsiTheme="minorHAnsi"/>
          <w:sz w:val="22"/>
          <w:szCs w:val="22"/>
        </w:rPr>
        <w:t>d</w:t>
      </w:r>
      <w:r w:rsidRPr="001878DD">
        <w:rPr>
          <w:rFonts w:asciiTheme="minorHAnsi" w:hAnsiTheme="minorHAnsi"/>
          <w:sz w:val="22"/>
          <w:szCs w:val="22"/>
        </w:rPr>
        <w:t>el diseño del nuevo parque urbano</w:t>
      </w:r>
      <w:r>
        <w:rPr>
          <w:rFonts w:asciiTheme="minorHAnsi" w:hAnsiTheme="minorHAnsi"/>
          <w:sz w:val="22"/>
          <w:szCs w:val="22"/>
        </w:rPr>
        <w:t>, siendo l</w:t>
      </w:r>
      <w:r>
        <w:rPr>
          <w:rFonts w:asciiTheme="minorHAnsi" w:hAnsiTheme="minorHAnsi" w:cstheme="minorHAnsi"/>
          <w:sz w:val="22"/>
          <w:szCs w:val="22"/>
        </w:rPr>
        <w:t xml:space="preserve">as primeras obras de confianza la instalación de juegos infantiles y el mejoramiento la zona de picnic y recreación. </w:t>
      </w:r>
      <w:r w:rsidRPr="00A0220E">
        <w:rPr>
          <w:rFonts w:asciiTheme="minorHAnsi" w:hAnsiTheme="minorHAnsi" w:cstheme="minorHAnsi"/>
          <w:sz w:val="22"/>
          <w:szCs w:val="22"/>
        </w:rPr>
        <w:t xml:space="preserve">Este nuevo parque </w:t>
      </w:r>
      <w:r>
        <w:rPr>
          <w:rFonts w:asciiTheme="minorHAnsi" w:hAnsiTheme="minorHAnsi" w:cstheme="minorHAnsi"/>
          <w:sz w:val="22"/>
          <w:szCs w:val="22"/>
        </w:rPr>
        <w:t xml:space="preserve">de 40 hectáreas </w:t>
      </w:r>
      <w:r w:rsidRPr="00A0220E">
        <w:rPr>
          <w:rFonts w:asciiTheme="minorHAnsi" w:hAnsiTheme="minorHAnsi" w:cstheme="minorHAnsi"/>
          <w:sz w:val="22"/>
          <w:szCs w:val="22"/>
        </w:rPr>
        <w:t xml:space="preserve">beneficiará a 76 mil habitantes de las comunas de Estación Central y Cerrillos, así como también </w:t>
      </w:r>
      <w:r>
        <w:rPr>
          <w:rFonts w:asciiTheme="minorHAnsi" w:hAnsiTheme="minorHAnsi" w:cstheme="minorHAnsi"/>
          <w:sz w:val="22"/>
          <w:szCs w:val="22"/>
        </w:rPr>
        <w:t xml:space="preserve">a los vecinos de </w:t>
      </w:r>
      <w:r w:rsidRPr="00A0220E">
        <w:rPr>
          <w:rFonts w:asciiTheme="minorHAnsi" w:hAnsiTheme="minorHAnsi" w:cstheme="minorHAnsi"/>
          <w:sz w:val="22"/>
          <w:szCs w:val="22"/>
        </w:rPr>
        <w:t>Pedro Aguirre Cerda, Maipú, Pudahuel y Lo Prado.</w:t>
      </w:r>
    </w:p>
    <w:p w14:paraId="46B0A7AC" w14:textId="77777777" w:rsidR="00CA6CE6" w:rsidRPr="0037196D" w:rsidRDefault="00CA6CE6" w:rsidP="0037196D">
      <w:pPr>
        <w:spacing w:after="0" w:line="276" w:lineRule="auto"/>
        <w:jc w:val="both"/>
        <w:rPr>
          <w:rFonts w:cstheme="minorHAnsi"/>
          <w:color w:val="000000"/>
        </w:rPr>
      </w:pPr>
    </w:p>
    <w:p w14:paraId="35A5B928" w14:textId="22D5D28F" w:rsidR="00CA6CE6" w:rsidRPr="00CA6CE6" w:rsidRDefault="00E7273E" w:rsidP="0037196D">
      <w:pPr>
        <w:keepNext/>
        <w:keepLines/>
        <w:spacing w:after="0" w:line="276" w:lineRule="auto"/>
        <w:jc w:val="both"/>
        <w:outlineLvl w:val="1"/>
        <w:rPr>
          <w:rFonts w:asciiTheme="majorHAnsi" w:eastAsiaTheme="majorEastAsia" w:hAnsiTheme="majorHAnsi" w:cstheme="majorBidi"/>
          <w:color w:val="2F5496" w:themeColor="accent1" w:themeShade="BF"/>
          <w:sz w:val="26"/>
          <w:szCs w:val="26"/>
          <w:u w:val="single"/>
        </w:rPr>
      </w:pPr>
      <w:bookmarkStart w:id="6" w:name="_Toc44877797"/>
      <w:r>
        <w:rPr>
          <w:rFonts w:asciiTheme="majorHAnsi" w:eastAsiaTheme="majorEastAsia" w:hAnsiTheme="majorHAnsi" w:cstheme="majorBidi"/>
          <w:color w:val="2F5496" w:themeColor="accent1" w:themeShade="BF"/>
          <w:sz w:val="26"/>
          <w:szCs w:val="26"/>
          <w:u w:val="single"/>
        </w:rPr>
        <w:t>5</w:t>
      </w:r>
      <w:r w:rsidR="00D03A8F" w:rsidRPr="00D03A8F">
        <w:rPr>
          <w:rFonts w:asciiTheme="majorHAnsi" w:eastAsiaTheme="majorEastAsia" w:hAnsiTheme="majorHAnsi" w:cstheme="majorBidi"/>
          <w:color w:val="2F5496" w:themeColor="accent1" w:themeShade="BF"/>
          <w:sz w:val="26"/>
          <w:szCs w:val="26"/>
          <w:u w:val="single"/>
        </w:rPr>
        <w:t>.-</w:t>
      </w:r>
      <w:r w:rsidR="00CA6CE6" w:rsidRPr="00CA6CE6">
        <w:rPr>
          <w:rFonts w:asciiTheme="majorHAnsi" w:eastAsiaTheme="majorEastAsia" w:hAnsiTheme="majorHAnsi" w:cstheme="majorBidi"/>
          <w:color w:val="2F5496" w:themeColor="accent1" w:themeShade="BF"/>
          <w:sz w:val="26"/>
          <w:szCs w:val="26"/>
          <w:u w:val="single"/>
        </w:rPr>
        <w:t>Emergencia y Seguridad Ciudadana</w:t>
      </w:r>
      <w:bookmarkEnd w:id="6"/>
      <w:r w:rsidR="00CA6CE6" w:rsidRPr="00CA6CE6">
        <w:rPr>
          <w:rFonts w:asciiTheme="majorHAnsi" w:eastAsiaTheme="majorEastAsia" w:hAnsiTheme="majorHAnsi" w:cstheme="majorBidi"/>
          <w:color w:val="2F5496" w:themeColor="accent1" w:themeShade="BF"/>
          <w:sz w:val="26"/>
          <w:szCs w:val="26"/>
          <w:u w:val="single"/>
        </w:rPr>
        <w:t xml:space="preserve"> </w:t>
      </w:r>
    </w:p>
    <w:p w14:paraId="31BD1577" w14:textId="77777777" w:rsidR="00CA6CE6" w:rsidRPr="00CA6CE6" w:rsidRDefault="00CA6CE6" w:rsidP="0037196D">
      <w:pPr>
        <w:spacing w:after="0" w:line="276" w:lineRule="auto"/>
        <w:jc w:val="both"/>
        <w:rPr>
          <w:i/>
        </w:rPr>
      </w:pPr>
      <w:r w:rsidRPr="00CA6CE6">
        <w:rPr>
          <w:i/>
        </w:rPr>
        <w:t>Prácticamente todas las encuestas lo señalan: la seguridad es uno de los temas que más interesa a la ciudadanía, ya sea por haber sido víctima o por la sensación de no contar con ayuda en caso de que algún suceso así le afecte. Tanto para las situaciones de emergencia como para el combate a la delincuencia se debe dotar a sus encargados de los recursos y de la inteligencia necesaria para obtener buenos resultados.</w:t>
      </w:r>
    </w:p>
    <w:p w14:paraId="3DED3938" w14:textId="77777777" w:rsidR="00CA6CE6" w:rsidRPr="00CA6CE6" w:rsidRDefault="00CA6CE6" w:rsidP="0037196D">
      <w:pPr>
        <w:spacing w:after="0" w:line="276" w:lineRule="auto"/>
        <w:jc w:val="both"/>
        <w:rPr>
          <w:color w:val="2F5496" w:themeColor="accent1" w:themeShade="BF"/>
        </w:rPr>
      </w:pPr>
    </w:p>
    <w:p w14:paraId="50B8DBA8" w14:textId="51857519" w:rsidR="00CA6CE6" w:rsidRPr="00E7273E" w:rsidRDefault="00CA6CE6" w:rsidP="0037196D">
      <w:pPr>
        <w:keepNext/>
        <w:keepLines/>
        <w:spacing w:after="0" w:line="276" w:lineRule="auto"/>
        <w:jc w:val="both"/>
        <w:outlineLvl w:val="2"/>
        <w:rPr>
          <w:rFonts w:asciiTheme="majorHAnsi" w:eastAsiaTheme="majorEastAsia" w:hAnsiTheme="majorHAnsi" w:cstheme="majorHAnsi"/>
          <w:color w:val="2F5496" w:themeColor="accent1" w:themeShade="BF"/>
          <w:sz w:val="26"/>
          <w:szCs w:val="26"/>
          <w:u w:val="single"/>
        </w:rPr>
      </w:pPr>
      <w:bookmarkStart w:id="7" w:name="_Toc44877800"/>
      <w:r w:rsidRPr="00E7273E">
        <w:rPr>
          <w:rFonts w:asciiTheme="majorHAnsi" w:eastAsiaTheme="majorEastAsia" w:hAnsiTheme="majorHAnsi" w:cstheme="majorHAnsi"/>
          <w:color w:val="2F5496" w:themeColor="accent1" w:themeShade="BF"/>
          <w:sz w:val="26"/>
          <w:szCs w:val="26"/>
          <w:u w:val="single"/>
        </w:rPr>
        <w:t>Construcción de Brigadas Criminalísticas PDI</w:t>
      </w:r>
      <w:bookmarkEnd w:id="7"/>
    </w:p>
    <w:p w14:paraId="5ECF8C5A" w14:textId="77777777" w:rsidR="00CA6CE6" w:rsidRPr="00CA6CE6" w:rsidRDefault="00CA6CE6" w:rsidP="0037196D">
      <w:pPr>
        <w:spacing w:after="0" w:line="276" w:lineRule="auto"/>
        <w:jc w:val="both"/>
      </w:pPr>
      <w:r w:rsidRPr="00CA6CE6">
        <w:rPr>
          <w:bCs/>
        </w:rPr>
        <w:t xml:space="preserve">En </w:t>
      </w:r>
      <w:r w:rsidRPr="00CA6CE6">
        <w:t>el Plan Regional se ha considerado la construcción de nuevos cuarteles para albergar Brigadas Criminalísticas (BICRIM) en la RM. La meta es construir cuatro BICRIM y dejar diseñados al 2021 otras dos en Renca y San Bernardo.</w:t>
      </w:r>
      <w:r w:rsidRPr="00CA6CE6">
        <w:rPr>
          <w:bCs/>
        </w:rPr>
        <w:t xml:space="preserve"> El costo total de estas iniciativas bordea los $15 mil millones.</w:t>
      </w:r>
    </w:p>
    <w:p w14:paraId="5B484E1B" w14:textId="77777777" w:rsidR="00CA6CE6" w:rsidRPr="00CA6CE6" w:rsidRDefault="00CA6CE6" w:rsidP="0037196D">
      <w:pPr>
        <w:numPr>
          <w:ilvl w:val="0"/>
          <w:numId w:val="2"/>
        </w:numPr>
        <w:spacing w:after="0" w:line="276" w:lineRule="auto"/>
        <w:contextualSpacing/>
        <w:jc w:val="both"/>
      </w:pPr>
      <w:r w:rsidRPr="00CA6CE6">
        <w:t>Bicrim Quilicura (en licitación): $3 mil 239 millones. El edificio contará con una superficie de 1.704 m2.</w:t>
      </w:r>
    </w:p>
    <w:p w14:paraId="7FE953D9" w14:textId="77777777" w:rsidR="00CA6CE6" w:rsidRPr="00CA6CE6" w:rsidRDefault="00CA6CE6" w:rsidP="0037196D">
      <w:pPr>
        <w:numPr>
          <w:ilvl w:val="0"/>
          <w:numId w:val="2"/>
        </w:numPr>
        <w:spacing w:after="0" w:line="276" w:lineRule="auto"/>
        <w:contextualSpacing/>
        <w:jc w:val="both"/>
        <w:rPr>
          <w:lang w:val="es-ES"/>
        </w:rPr>
      </w:pPr>
      <w:r w:rsidRPr="00CA6CE6">
        <w:t>Bicrim Huechuraba (en licitación): $3 mil 200 millones. Tendrá una superficie construida de 1.611 m2, en un terreno de 2.980,44 m2.</w:t>
      </w:r>
    </w:p>
    <w:p w14:paraId="35429735" w14:textId="77777777" w:rsidR="00CA6CE6" w:rsidRPr="00CA6CE6" w:rsidRDefault="00CA6CE6" w:rsidP="0037196D">
      <w:pPr>
        <w:numPr>
          <w:ilvl w:val="0"/>
          <w:numId w:val="2"/>
        </w:numPr>
        <w:spacing w:after="0" w:line="276" w:lineRule="auto"/>
        <w:contextualSpacing/>
        <w:jc w:val="both"/>
        <w:rPr>
          <w:lang w:val="es-ES"/>
        </w:rPr>
      </w:pPr>
      <w:r w:rsidRPr="00CA6CE6">
        <w:t>Bicrim Pudahuel (en construcción): $6 mil 059 millones (financiamiento mixto). Edificio de 3.762 m2 en tres niveles y 148 estacionamientos, en un terreno de 7.777 m2.</w:t>
      </w:r>
    </w:p>
    <w:p w14:paraId="56AF8AF8" w14:textId="77777777" w:rsidR="00CA6CE6" w:rsidRPr="00CA6CE6" w:rsidRDefault="00CA6CE6" w:rsidP="0037196D">
      <w:pPr>
        <w:numPr>
          <w:ilvl w:val="0"/>
          <w:numId w:val="2"/>
        </w:numPr>
        <w:spacing w:after="0" w:line="276" w:lineRule="auto"/>
        <w:contextualSpacing/>
        <w:jc w:val="both"/>
        <w:rPr>
          <w:lang w:val="es-ES"/>
        </w:rPr>
      </w:pPr>
      <w:r w:rsidRPr="00CA6CE6">
        <w:t xml:space="preserve">Bicrim San Ramón (en construcción): $2 mil 438 millones. Infraestructura de 1.454 m2 construidos, en dos niveles y subterráneo, en un terreno de 5.178 m2.  </w:t>
      </w:r>
    </w:p>
    <w:p w14:paraId="27732735" w14:textId="77777777" w:rsidR="00CA6CE6" w:rsidRPr="00CA6CE6" w:rsidRDefault="00CA6CE6" w:rsidP="0037196D">
      <w:pPr>
        <w:spacing w:after="0" w:line="276" w:lineRule="auto"/>
        <w:jc w:val="both"/>
      </w:pPr>
    </w:p>
    <w:p w14:paraId="07B3F14D" w14:textId="77777777" w:rsidR="00CA6CE6" w:rsidRPr="00CA6CE6" w:rsidRDefault="00CA6CE6" w:rsidP="0037196D">
      <w:pPr>
        <w:spacing w:after="0" w:line="276" w:lineRule="auto"/>
        <w:jc w:val="both"/>
      </w:pPr>
      <w:r w:rsidRPr="00CA6CE6">
        <w:t>Además, se encuentra con un avance de un 90% el mejoramiento del cuartel de los grupos “Microtráfico 0″ (MT0), ubicado en el ex aeródromo de Cerrillos. Se trata de 98 equipos especiales con 400 policías que se dedican exclusivamente a la persecución de bandas dedicadas a la distribución de drogas al menudeo, y cuya base y cuartel de entrenamiento necesitó arreglos</w:t>
      </w:r>
    </w:p>
    <w:p w14:paraId="1D3CD0AB" w14:textId="77777777" w:rsidR="00CA6CE6" w:rsidRPr="00CA6CE6" w:rsidRDefault="00CA6CE6" w:rsidP="0037196D">
      <w:pPr>
        <w:shd w:val="clear" w:color="auto" w:fill="FFFFFF"/>
        <w:spacing w:after="0" w:line="276" w:lineRule="auto"/>
        <w:jc w:val="both"/>
        <w:rPr>
          <w:rFonts w:eastAsia="Times New Roman" w:cs="Times New Roman"/>
          <w:lang w:eastAsia="es-ES_tradnl"/>
        </w:rPr>
      </w:pPr>
      <w:r w:rsidRPr="00CA6CE6">
        <w:rPr>
          <w:rFonts w:eastAsia="Times New Roman" w:cs="Times New Roman"/>
          <w:lang w:eastAsia="es-ES_tradnl"/>
        </w:rPr>
        <w:t>debido a su antigüedad y al crecimiento en la dotación de funcionarios. Este proyecto tiene un costo de casi $850 millones.</w:t>
      </w:r>
    </w:p>
    <w:p w14:paraId="411E04B7" w14:textId="77777777" w:rsidR="00CA6CE6" w:rsidRPr="00CA6CE6" w:rsidRDefault="00CA6CE6" w:rsidP="0037196D">
      <w:pPr>
        <w:shd w:val="clear" w:color="auto" w:fill="FFFFFF"/>
        <w:spacing w:after="0" w:line="276" w:lineRule="auto"/>
        <w:jc w:val="both"/>
        <w:rPr>
          <w:rFonts w:eastAsia="Times New Roman" w:cs="Times New Roman"/>
          <w:lang w:eastAsia="es-ES_tradnl"/>
        </w:rPr>
      </w:pPr>
    </w:p>
    <w:p w14:paraId="37A7BD18" w14:textId="77777777" w:rsidR="00CA6CE6" w:rsidRPr="00CA6CE6" w:rsidRDefault="00CA6CE6" w:rsidP="0037196D">
      <w:pPr>
        <w:shd w:val="clear" w:color="auto" w:fill="FFFFFF"/>
        <w:spacing w:after="0" w:line="276" w:lineRule="auto"/>
        <w:jc w:val="both"/>
        <w:rPr>
          <w:rFonts w:eastAsia="Times New Roman" w:cs="Times New Roman"/>
          <w:shd w:val="clear" w:color="auto" w:fill="FFFFFF"/>
          <w:lang w:eastAsia="es-ES_tradnl"/>
        </w:rPr>
      </w:pPr>
      <w:r w:rsidRPr="00CA6CE6">
        <w:rPr>
          <w:rFonts w:eastAsia="Times New Roman" w:cs="Times New Roman"/>
          <w:lang w:eastAsia="es-ES_tradnl"/>
        </w:rPr>
        <w:lastRenderedPageBreak/>
        <w:t xml:space="preserve">A los dos proyectos anteriores se suma la aprobación por parte del </w:t>
      </w:r>
      <w:r w:rsidRPr="00CA6CE6">
        <w:rPr>
          <w:rFonts w:eastAsia="Times New Roman" w:cs="Times New Roman"/>
          <w:shd w:val="clear" w:color="auto" w:fill="FFFFFF"/>
          <w:lang w:eastAsia="es-ES_tradnl"/>
        </w:rPr>
        <w:t xml:space="preserve">Consejo Regional Metropolitano de recursos superiores a los mil millones de pesos para la adquisición </w:t>
      </w:r>
      <w:r w:rsidRPr="00CA6CE6">
        <w:rPr>
          <w:rFonts w:eastAsia="Times New Roman" w:cs="Times New Roman"/>
          <w:lang w:eastAsia="es-ES_tradnl"/>
        </w:rPr>
        <w:t>de equipamiento para la investigación de sitios de sucesos por explosivos</w:t>
      </w:r>
      <w:r w:rsidRPr="00CA6CE6">
        <w:rPr>
          <w:rFonts w:eastAsia="Times New Roman" w:cs="Times New Roman"/>
          <w:shd w:val="clear" w:color="auto" w:fill="FFFFFF"/>
          <w:lang w:eastAsia="es-ES_tradnl"/>
        </w:rPr>
        <w:t>.</w:t>
      </w:r>
    </w:p>
    <w:p w14:paraId="390E08AD" w14:textId="77777777" w:rsidR="00CA6CE6" w:rsidRPr="00CA6CE6" w:rsidRDefault="00CA6CE6" w:rsidP="0037196D">
      <w:pPr>
        <w:spacing w:after="0" w:line="276" w:lineRule="auto"/>
        <w:jc w:val="both"/>
        <w:rPr>
          <w:color w:val="2F5496" w:themeColor="accent1" w:themeShade="BF"/>
          <w:sz w:val="26"/>
          <w:szCs w:val="26"/>
        </w:rPr>
      </w:pPr>
    </w:p>
    <w:p w14:paraId="6A6FAF35" w14:textId="77777777" w:rsidR="00CA6CE6" w:rsidRPr="00E7273E" w:rsidRDefault="00CA6CE6" w:rsidP="0037196D">
      <w:pPr>
        <w:keepNext/>
        <w:keepLines/>
        <w:spacing w:after="0" w:line="276" w:lineRule="auto"/>
        <w:jc w:val="both"/>
        <w:outlineLvl w:val="2"/>
        <w:rPr>
          <w:rFonts w:asciiTheme="majorHAnsi" w:eastAsiaTheme="majorEastAsia" w:hAnsiTheme="majorHAnsi" w:cstheme="majorHAnsi"/>
          <w:color w:val="2F5496" w:themeColor="accent1" w:themeShade="BF"/>
          <w:sz w:val="26"/>
          <w:szCs w:val="26"/>
          <w:u w:val="single"/>
        </w:rPr>
      </w:pPr>
      <w:bookmarkStart w:id="8" w:name="_Toc44877798"/>
      <w:r w:rsidRPr="00E7273E">
        <w:rPr>
          <w:rFonts w:asciiTheme="majorHAnsi" w:eastAsiaTheme="majorEastAsia" w:hAnsiTheme="majorHAnsi" w:cstheme="majorHAnsi"/>
          <w:color w:val="2F5496" w:themeColor="accent1" w:themeShade="BF"/>
          <w:sz w:val="26"/>
          <w:szCs w:val="26"/>
          <w:u w:val="single"/>
        </w:rPr>
        <w:t>Adquisición de cien vehículos para Brigadas Criminalísticas</w:t>
      </w:r>
      <w:bookmarkEnd w:id="8"/>
      <w:r w:rsidRPr="00E7273E">
        <w:rPr>
          <w:rFonts w:asciiTheme="majorHAnsi" w:eastAsiaTheme="majorEastAsia" w:hAnsiTheme="majorHAnsi" w:cstheme="majorHAnsi"/>
          <w:color w:val="2F5496" w:themeColor="accent1" w:themeShade="BF"/>
          <w:sz w:val="26"/>
          <w:szCs w:val="26"/>
          <w:u w:val="single"/>
        </w:rPr>
        <w:t xml:space="preserve"> PDI</w:t>
      </w:r>
    </w:p>
    <w:p w14:paraId="59A186B4" w14:textId="3AFAC06B" w:rsidR="00CA6CE6" w:rsidRPr="00CA6CE6" w:rsidRDefault="00CA6CE6" w:rsidP="0037196D">
      <w:pPr>
        <w:spacing w:after="0" w:line="276" w:lineRule="auto"/>
        <w:jc w:val="both"/>
      </w:pPr>
      <w:r w:rsidRPr="00CA6CE6">
        <w:t>La Policía de Investigaciones, en su lucha contra la delincuencia, ha renovado en los últimos años su flota de vehículos operativos, recibiendo el apoyo del Gobierno Regional. A la adquisición de 100 vehículos para la institución en 2014 y a la entrega de dos blindados en 2018, se agrega ahora la adquisición de otros cien nuevos vehículos que irán a las Brigadas de Investigación Criminal y en apoyo a los Grupos Microtráfico 0, con</w:t>
      </w:r>
      <w:r w:rsidRPr="00CA6CE6">
        <w:rPr>
          <w:color w:val="000000" w:themeColor="text1"/>
        </w:rPr>
        <w:t xml:space="preserve"> una inversión de dos mil millones de pesos.</w:t>
      </w:r>
      <w:r w:rsidRPr="00CA6CE6">
        <w:t xml:space="preserve"> Serán 70 vehículos sedan, 20 vehículos </w:t>
      </w:r>
      <w:r w:rsidR="00E7273E">
        <w:t>S</w:t>
      </w:r>
      <w:r w:rsidRPr="00CA6CE6">
        <w:t xml:space="preserve">tation </w:t>
      </w:r>
      <w:r w:rsidR="00E7273E">
        <w:t>W</w:t>
      </w:r>
      <w:r w:rsidRPr="00CA6CE6">
        <w:t xml:space="preserve">agon y otros 10 vehículos eléctricos que serán distribuidos en distintas unidades de la Región. </w:t>
      </w:r>
    </w:p>
    <w:p w14:paraId="24B98A4C" w14:textId="77777777" w:rsidR="00CA6CE6" w:rsidRPr="00CA6CE6" w:rsidRDefault="00CA6CE6" w:rsidP="0037196D">
      <w:pPr>
        <w:spacing w:after="0" w:line="276" w:lineRule="auto"/>
        <w:jc w:val="both"/>
      </w:pPr>
    </w:p>
    <w:p w14:paraId="7CFB5674" w14:textId="77777777" w:rsidR="00CA6CE6" w:rsidRPr="00CA6CE6" w:rsidRDefault="00CA6CE6" w:rsidP="0037196D">
      <w:pPr>
        <w:spacing w:after="0" w:line="276" w:lineRule="auto"/>
        <w:jc w:val="both"/>
      </w:pPr>
      <w:r w:rsidRPr="00CA6CE6">
        <w:rPr>
          <w:color w:val="000000" w:themeColor="text1"/>
        </w:rPr>
        <w:t>Adicionalmente, con una inversión de $2 mil millones, se extenderá la adquisición de vehículos blindados y equipamientos para la brigada de homicidios y la brigada investigadora de robos.</w:t>
      </w:r>
    </w:p>
    <w:p w14:paraId="51309FF8" w14:textId="77777777" w:rsidR="00CA6CE6" w:rsidRPr="00CA6CE6" w:rsidRDefault="00CA6CE6" w:rsidP="0037196D">
      <w:pPr>
        <w:spacing w:after="0" w:line="276" w:lineRule="auto"/>
        <w:jc w:val="both"/>
        <w:rPr>
          <w:sz w:val="26"/>
          <w:szCs w:val="26"/>
        </w:rPr>
      </w:pPr>
    </w:p>
    <w:p w14:paraId="5175C270" w14:textId="77777777" w:rsidR="00CA6CE6" w:rsidRPr="00E7273E" w:rsidRDefault="00CA6CE6" w:rsidP="0037196D">
      <w:pPr>
        <w:keepNext/>
        <w:keepLines/>
        <w:spacing w:after="0" w:line="276" w:lineRule="auto"/>
        <w:jc w:val="both"/>
        <w:outlineLvl w:val="2"/>
        <w:rPr>
          <w:rFonts w:asciiTheme="majorHAnsi" w:eastAsiaTheme="majorEastAsia" w:hAnsiTheme="majorHAnsi" w:cstheme="majorHAnsi"/>
          <w:color w:val="1F3763" w:themeColor="accent1" w:themeShade="7F"/>
          <w:sz w:val="26"/>
          <w:szCs w:val="26"/>
          <w:u w:val="single"/>
        </w:rPr>
      </w:pPr>
      <w:bookmarkStart w:id="9" w:name="_Toc44877801"/>
      <w:r w:rsidRPr="00E7273E">
        <w:rPr>
          <w:rFonts w:asciiTheme="majorHAnsi" w:eastAsiaTheme="majorEastAsia" w:hAnsiTheme="majorHAnsi" w:cstheme="majorHAnsi"/>
          <w:color w:val="1F3763" w:themeColor="accent1" w:themeShade="7F"/>
          <w:sz w:val="26"/>
          <w:szCs w:val="26"/>
          <w:u w:val="single"/>
        </w:rPr>
        <w:t>Adquisición de Carros Bomba para Bomberos</w:t>
      </w:r>
      <w:bookmarkEnd w:id="9"/>
    </w:p>
    <w:p w14:paraId="2DB11842" w14:textId="77777777" w:rsidR="00CA6CE6" w:rsidRPr="00CA6CE6" w:rsidRDefault="00CA6CE6" w:rsidP="0037196D">
      <w:pPr>
        <w:autoSpaceDE w:val="0"/>
        <w:autoSpaceDN w:val="0"/>
        <w:adjustRightInd w:val="0"/>
        <w:spacing w:after="0" w:line="276" w:lineRule="auto"/>
        <w:jc w:val="both"/>
        <w:rPr>
          <w:rFonts w:cs="Arial"/>
          <w:color w:val="000000"/>
        </w:rPr>
      </w:pPr>
      <w:r w:rsidRPr="00CA6CE6">
        <w:rPr>
          <w:rFonts w:cs="Arial"/>
          <w:color w:val="000000"/>
        </w:rPr>
        <w:t xml:space="preserve">Dotar de equipamiento a los distintos cuarteles de Bomberos de la Región Metropolitana ha sido siempre una preocupación constante para el GORE RM. A fines de 2019, fueron entregados al Consejo Regional de Bomberos </w:t>
      </w:r>
      <w:r w:rsidRPr="00CA6CE6">
        <w:rPr>
          <w:rFonts w:eastAsia="Times New Roman" w:cs="Times New Roman"/>
          <w:lang w:eastAsia="es-CL"/>
        </w:rPr>
        <w:t>$2.018 millones</w:t>
      </w:r>
      <w:r w:rsidRPr="00CA6CE6">
        <w:rPr>
          <w:rFonts w:cs="Arial"/>
        </w:rPr>
        <w:t xml:space="preserve"> para la compra </w:t>
      </w:r>
      <w:r w:rsidRPr="00CA6CE6">
        <w:rPr>
          <w:rFonts w:cs="Arial"/>
          <w:color w:val="000000"/>
        </w:rPr>
        <w:t>de cerca de 4 mil 700 uniformes para el combate de incendios estructurales y forestales, y para operativos de rescate,</w:t>
      </w:r>
    </w:p>
    <w:p w14:paraId="7DFC6015" w14:textId="77777777" w:rsidR="00CA6CE6" w:rsidRPr="00CA6CE6" w:rsidRDefault="00CA6CE6" w:rsidP="0037196D">
      <w:pPr>
        <w:autoSpaceDE w:val="0"/>
        <w:autoSpaceDN w:val="0"/>
        <w:adjustRightInd w:val="0"/>
        <w:spacing w:after="0" w:line="276" w:lineRule="auto"/>
        <w:jc w:val="both"/>
        <w:rPr>
          <w:rFonts w:cs="Arial"/>
          <w:color w:val="000000"/>
        </w:rPr>
      </w:pPr>
    </w:p>
    <w:p w14:paraId="55FF0A1A" w14:textId="77777777" w:rsidR="00CA6CE6" w:rsidRPr="00CA6CE6" w:rsidRDefault="00CA6CE6" w:rsidP="0037196D">
      <w:pPr>
        <w:autoSpaceDE w:val="0"/>
        <w:autoSpaceDN w:val="0"/>
        <w:adjustRightInd w:val="0"/>
        <w:spacing w:after="0" w:line="276" w:lineRule="auto"/>
        <w:jc w:val="both"/>
        <w:rPr>
          <w:rFonts w:cstheme="minorHAnsi"/>
          <w:color w:val="000000"/>
        </w:rPr>
      </w:pPr>
      <w:r w:rsidRPr="00CA6CE6">
        <w:rPr>
          <w:rFonts w:cs="Arial"/>
          <w:color w:val="000000"/>
        </w:rPr>
        <w:t xml:space="preserve">Además, </w:t>
      </w:r>
      <w:r w:rsidRPr="00CA6CE6">
        <w:rPr>
          <w:rFonts w:cstheme="minorHAnsi"/>
          <w:color w:val="000000"/>
        </w:rPr>
        <w:t xml:space="preserve">se destinaron M$750.982 para la relocalización del cuartel de la 1° Compañía de Bomberos de Melipilla, renovación que forma parte del plan de mejoramiento de la infraestructura de más de 12 cuarteles de Bomberos de la RM, </w:t>
      </w:r>
      <w:r w:rsidRPr="00CA6CE6">
        <w:rPr>
          <w:rFonts w:cs="Arial"/>
          <w:color w:val="000000"/>
        </w:rPr>
        <w:t xml:space="preserve">y ya se encuentra en marcha un proyecto de compra de 45 carros para combatir incendios, que irían a 28 cuarteles de la Región, a un costo de </w:t>
      </w:r>
      <w:r w:rsidRPr="00CA6CE6">
        <w:rPr>
          <w:rFonts w:cstheme="minorHAnsi"/>
          <w:noProof/>
          <w:color w:val="000000"/>
        </w:rPr>
        <w:t>seis mil 915 millones de pesos.</w:t>
      </w:r>
    </w:p>
    <w:p w14:paraId="03E6F94E" w14:textId="77777777" w:rsidR="0037196D" w:rsidRPr="00E7273E" w:rsidRDefault="0037196D" w:rsidP="0037196D">
      <w:pPr>
        <w:keepNext/>
        <w:keepLines/>
        <w:spacing w:before="40" w:after="0"/>
        <w:jc w:val="both"/>
        <w:outlineLvl w:val="2"/>
        <w:rPr>
          <w:rFonts w:asciiTheme="majorHAnsi" w:eastAsiaTheme="majorEastAsia" w:hAnsiTheme="majorHAnsi" w:cstheme="majorHAnsi"/>
          <w:color w:val="1F3763" w:themeColor="accent1" w:themeShade="7F"/>
          <w:sz w:val="26"/>
          <w:szCs w:val="26"/>
          <w:u w:val="single"/>
        </w:rPr>
      </w:pPr>
    </w:p>
    <w:p w14:paraId="47FCCFD2" w14:textId="076334A3" w:rsidR="00CA6CE6" w:rsidRPr="00E7273E" w:rsidRDefault="00CA6CE6" w:rsidP="0037196D">
      <w:pPr>
        <w:keepNext/>
        <w:keepLines/>
        <w:spacing w:before="40" w:after="0"/>
        <w:jc w:val="both"/>
        <w:outlineLvl w:val="2"/>
        <w:rPr>
          <w:rFonts w:asciiTheme="majorHAnsi" w:eastAsiaTheme="majorEastAsia" w:hAnsiTheme="majorHAnsi" w:cstheme="majorHAnsi"/>
          <w:color w:val="1F3763" w:themeColor="accent1" w:themeShade="7F"/>
          <w:sz w:val="26"/>
          <w:szCs w:val="26"/>
          <w:u w:val="single"/>
        </w:rPr>
      </w:pPr>
      <w:r w:rsidRPr="00E7273E">
        <w:rPr>
          <w:rFonts w:asciiTheme="majorHAnsi" w:eastAsiaTheme="majorEastAsia" w:hAnsiTheme="majorHAnsi" w:cstheme="majorHAnsi"/>
          <w:color w:val="1F3763" w:themeColor="accent1" w:themeShade="7F"/>
          <w:sz w:val="26"/>
          <w:szCs w:val="26"/>
          <w:u w:val="single"/>
        </w:rPr>
        <w:t>Vehículos Policiales para zonas rurales</w:t>
      </w:r>
    </w:p>
    <w:p w14:paraId="48BD74B8" w14:textId="77777777" w:rsidR="00CA6CE6" w:rsidRPr="00CA6CE6" w:rsidRDefault="00CA6CE6" w:rsidP="0037196D">
      <w:pPr>
        <w:shd w:val="clear" w:color="auto" w:fill="FFFFFF"/>
        <w:spacing w:after="0" w:line="276" w:lineRule="auto"/>
        <w:jc w:val="both"/>
        <w:rPr>
          <w:rFonts w:eastAsia="Times New Roman" w:cs="Times New Roman"/>
          <w:lang w:eastAsia="es-ES_tradnl"/>
        </w:rPr>
      </w:pPr>
      <w:r w:rsidRPr="00CA6CE6">
        <w:rPr>
          <w:rFonts w:eastAsia="Times New Roman" w:cs="Times New Roman"/>
          <w:lang w:eastAsia="es-ES_tradnl"/>
        </w:rPr>
        <w:t>El CORE Metropolitano aprobó en agosto pasado la adquisición de 36 vehículos policiales tipo SUV, los que serán entregados a Carabineros para ser usados en las 18 comunas rurales de la región. La idea es amentar la cobertura territorial y mejorar los tiempos de respuesta. Hoy dichas comunas cuentan con 40 cuarteles presenciales y 113 vehículos de diversa índole, con un importante déficit de equipamiento para desarrollar las funciones de la policía uniformada en estos territorios.</w:t>
      </w:r>
    </w:p>
    <w:p w14:paraId="273390FC" w14:textId="77777777" w:rsidR="00CA6CE6" w:rsidRPr="00CA6CE6" w:rsidRDefault="00CA6CE6" w:rsidP="0037196D">
      <w:pPr>
        <w:shd w:val="clear" w:color="auto" w:fill="FFFFFF"/>
        <w:spacing w:after="0" w:line="276" w:lineRule="auto"/>
        <w:jc w:val="both"/>
        <w:rPr>
          <w:rFonts w:eastAsia="Times New Roman" w:cs="Times New Roman"/>
          <w:lang w:eastAsia="es-ES_tradnl"/>
        </w:rPr>
      </w:pPr>
    </w:p>
    <w:p w14:paraId="004DDABC" w14:textId="77777777" w:rsidR="00CA6CE6" w:rsidRPr="00CA6CE6" w:rsidRDefault="00CA6CE6" w:rsidP="0037196D">
      <w:pPr>
        <w:shd w:val="clear" w:color="auto" w:fill="FFFFFF"/>
        <w:spacing w:after="0" w:line="276" w:lineRule="auto"/>
        <w:jc w:val="both"/>
        <w:rPr>
          <w:rFonts w:eastAsia="Times New Roman" w:cs="Times New Roman"/>
          <w:lang w:eastAsia="es-ES_tradnl"/>
        </w:rPr>
      </w:pPr>
      <w:r w:rsidRPr="00CA6CE6">
        <w:rPr>
          <w:rFonts w:eastAsia="Times New Roman" w:cs="Times New Roman"/>
          <w:lang w:eastAsia="es-ES_tradnl"/>
        </w:rPr>
        <w:t>La iniciativa tendrá un costo de $1.111.847.000, y se estima que beneficiará a unas 270 mil personas de las distintas comunas favorecidas, colaborando a disminuir los índices delictuales e incidiendo en una mejor percepción de seguridad en la población.</w:t>
      </w:r>
    </w:p>
    <w:p w14:paraId="45CD00D7" w14:textId="77777777" w:rsidR="00CA6CE6" w:rsidRPr="00CA6CE6" w:rsidRDefault="00CA6CE6" w:rsidP="0037196D">
      <w:pPr>
        <w:shd w:val="clear" w:color="auto" w:fill="FFFFFF"/>
        <w:spacing w:after="0" w:line="276" w:lineRule="auto"/>
        <w:jc w:val="both"/>
        <w:rPr>
          <w:rFonts w:eastAsia="Times New Roman" w:cs="Times New Roman"/>
          <w:lang w:eastAsia="es-ES_tradnl"/>
        </w:rPr>
      </w:pPr>
    </w:p>
    <w:p w14:paraId="64A607D4" w14:textId="77777777" w:rsidR="00CA6CE6" w:rsidRPr="00CA6CE6" w:rsidRDefault="00CA6CE6" w:rsidP="0037196D">
      <w:pPr>
        <w:shd w:val="clear" w:color="auto" w:fill="FFFFFF"/>
        <w:spacing w:after="0" w:line="276" w:lineRule="auto"/>
        <w:jc w:val="both"/>
        <w:rPr>
          <w:rFonts w:eastAsia="Times New Roman" w:cstheme="minorHAnsi"/>
          <w:lang w:eastAsia="es-ES_tradnl"/>
        </w:rPr>
      </w:pPr>
      <w:r w:rsidRPr="00CA6CE6">
        <w:rPr>
          <w:rFonts w:eastAsia="Times New Roman" w:cstheme="minorHAnsi"/>
          <w:lang w:eastAsia="es-ES_tradnl"/>
        </w:rPr>
        <w:t>S</w:t>
      </w:r>
      <w:r w:rsidRPr="00CA6CE6">
        <w:rPr>
          <w:rFonts w:eastAsia="Times New Roman" w:cstheme="minorHAnsi"/>
          <w:color w:val="000000" w:themeColor="text1"/>
          <w:lang w:eastAsia="es-ES_tradnl"/>
        </w:rPr>
        <w:t>e espera para el año 2021 la adquisición de nuevos sistemas audiovisuales para el Departamento de encargo y búsqueda de personas y vehículos con una inversión de 138 millones de pesos.</w:t>
      </w:r>
    </w:p>
    <w:p w14:paraId="5087426E" w14:textId="77777777" w:rsidR="00CA6CE6" w:rsidRPr="00CA6CE6" w:rsidRDefault="00CA6CE6" w:rsidP="00CA6CE6">
      <w:pPr>
        <w:shd w:val="clear" w:color="auto" w:fill="FFFFFF"/>
        <w:spacing w:after="0" w:line="276" w:lineRule="auto"/>
        <w:rPr>
          <w:rFonts w:eastAsia="Times New Roman" w:cs="Times New Roman"/>
          <w:lang w:eastAsia="es-ES_tradnl"/>
        </w:rPr>
      </w:pPr>
    </w:p>
    <w:sectPr w:rsidR="00CA6CE6" w:rsidRPr="00CA6C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cuepo)">
    <w:altName w:val="Calibri"/>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86480B"/>
    <w:multiLevelType w:val="hybridMultilevel"/>
    <w:tmpl w:val="B46AEF64"/>
    <w:lvl w:ilvl="0" w:tplc="C66216EC">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771B0C18"/>
    <w:multiLevelType w:val="hybridMultilevel"/>
    <w:tmpl w:val="ED0CA520"/>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CE6"/>
    <w:rsid w:val="001C5B74"/>
    <w:rsid w:val="002F0D68"/>
    <w:rsid w:val="0037196D"/>
    <w:rsid w:val="005B5F9B"/>
    <w:rsid w:val="006E7ED6"/>
    <w:rsid w:val="007E240B"/>
    <w:rsid w:val="009330F1"/>
    <w:rsid w:val="00B77DC7"/>
    <w:rsid w:val="00CA6CE6"/>
    <w:rsid w:val="00CA6F7A"/>
    <w:rsid w:val="00D03A8F"/>
    <w:rsid w:val="00DA427F"/>
    <w:rsid w:val="00E4132F"/>
    <w:rsid w:val="00E7273E"/>
    <w:rsid w:val="00E74788"/>
    <w:rsid w:val="00EC3551"/>
    <w:rsid w:val="00ED59F1"/>
    <w:rsid w:val="00FB4A5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3B86"/>
  <w15:chartTrackingRefBased/>
  <w15:docId w15:val="{F7BCD693-63B6-49EA-B069-F9C986D9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unhideWhenUsed/>
    <w:qFormat/>
    <w:rsid w:val="00CA6C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6CE6"/>
    <w:pPr>
      <w:ind w:left="720"/>
      <w:contextualSpacing/>
    </w:pPr>
  </w:style>
  <w:style w:type="character" w:customStyle="1" w:styleId="Ttulo3Car">
    <w:name w:val="Título 3 Car"/>
    <w:basedOn w:val="Fuentedeprrafopredeter"/>
    <w:link w:val="Ttulo3"/>
    <w:uiPriority w:val="9"/>
    <w:rsid w:val="00CA6CE6"/>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CA6CE6"/>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Default">
    <w:name w:val="Default"/>
    <w:rsid w:val="00CA6CE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5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7D7C7-69AF-4A14-9489-33AC3D4A4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1678</Words>
  <Characters>9235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Tobalina Knust</dc:creator>
  <cp:keywords/>
  <dc:description/>
  <cp:lastModifiedBy>Juan Bautista Suazo Gonzalez</cp:lastModifiedBy>
  <cp:revision>2</cp:revision>
  <cp:lastPrinted>2021-11-25T19:44:00Z</cp:lastPrinted>
  <dcterms:created xsi:type="dcterms:W3CDTF">2022-01-19T20:05:00Z</dcterms:created>
  <dcterms:modified xsi:type="dcterms:W3CDTF">2022-01-19T20:05:00Z</dcterms:modified>
</cp:coreProperties>
</file>